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87" w:rsidRPr="00E41771" w:rsidRDefault="00776987" w:rsidP="00776987">
      <w:pPr>
        <w:autoSpaceDE w:val="0"/>
        <w:autoSpaceDN w:val="0"/>
        <w:adjustRightInd w:val="0"/>
        <w:spacing w:after="360" w:line="290" w:lineRule="auto"/>
        <w:jc w:val="center"/>
        <w:rPr>
          <w:color w:val="000000"/>
          <w:sz w:val="22"/>
          <w:szCs w:val="22"/>
        </w:rPr>
      </w:pPr>
      <w:r w:rsidRPr="00E41771">
        <w:rPr>
          <w:b/>
          <w:bCs/>
          <w:color w:val="000000"/>
          <w:sz w:val="22"/>
          <w:szCs w:val="22"/>
        </w:rPr>
        <w:t>STECF</w:t>
      </w:r>
      <w:r w:rsidRPr="00E41771">
        <w:rPr>
          <w:b/>
          <w:bCs/>
          <w:color w:val="000000"/>
          <w:sz w:val="22"/>
          <w:szCs w:val="22"/>
        </w:rPr>
        <w:br/>
        <w:t xml:space="preserve">EXPERT WORKING GROUP EWG </w:t>
      </w:r>
      <w:r w:rsidR="00FD7B3F" w:rsidRPr="00E41771">
        <w:rPr>
          <w:b/>
          <w:bCs/>
          <w:color w:val="000000"/>
          <w:sz w:val="22"/>
          <w:szCs w:val="22"/>
        </w:rPr>
        <w:t>1</w:t>
      </w:r>
      <w:r w:rsidR="00FF6F85" w:rsidRPr="00E41771">
        <w:rPr>
          <w:b/>
          <w:bCs/>
          <w:color w:val="000000"/>
          <w:sz w:val="22"/>
          <w:szCs w:val="22"/>
        </w:rPr>
        <w:t>9</w:t>
      </w:r>
      <w:r w:rsidRPr="00E41771">
        <w:rPr>
          <w:b/>
          <w:bCs/>
          <w:color w:val="000000"/>
          <w:sz w:val="22"/>
          <w:szCs w:val="22"/>
        </w:rPr>
        <w:t>-</w:t>
      </w:r>
      <w:r w:rsidR="005F47A2" w:rsidRPr="00E41771">
        <w:rPr>
          <w:b/>
          <w:bCs/>
          <w:color w:val="000000"/>
          <w:sz w:val="22"/>
          <w:szCs w:val="22"/>
        </w:rPr>
        <w:t>02</w:t>
      </w:r>
    </w:p>
    <w:p w:rsidR="00776987" w:rsidRPr="00E41771" w:rsidRDefault="00627EEA" w:rsidP="00776987">
      <w:pPr>
        <w:autoSpaceDE w:val="0"/>
        <w:autoSpaceDN w:val="0"/>
        <w:adjustRightInd w:val="0"/>
        <w:spacing w:after="360" w:line="290" w:lineRule="auto"/>
        <w:jc w:val="center"/>
        <w:rPr>
          <w:color w:val="000000"/>
          <w:sz w:val="22"/>
          <w:szCs w:val="22"/>
        </w:rPr>
      </w:pPr>
      <w:r w:rsidRPr="00E41771">
        <w:rPr>
          <w:b/>
          <w:color w:val="000000"/>
          <w:sz w:val="22"/>
          <w:szCs w:val="22"/>
        </w:rPr>
        <w:t xml:space="preserve">on Management Strategy Evaluation </w:t>
      </w:r>
      <w:r w:rsidR="00F147AA" w:rsidRPr="00E41771">
        <w:rPr>
          <w:b/>
          <w:sz w:val="22"/>
          <w:szCs w:val="22"/>
        </w:rPr>
        <w:t xml:space="preserve">for demersal species </w:t>
      </w:r>
      <w:r w:rsidR="00644FA9" w:rsidRPr="00E41771">
        <w:rPr>
          <w:b/>
          <w:sz w:val="22"/>
          <w:szCs w:val="22"/>
        </w:rPr>
        <w:t>in the Adriatic</w:t>
      </w:r>
      <w:r w:rsidR="002A44EA" w:rsidRPr="00E41771">
        <w:rPr>
          <w:b/>
          <w:sz w:val="22"/>
          <w:szCs w:val="22"/>
        </w:rPr>
        <w:t xml:space="preserve"> Sea</w:t>
      </w:r>
      <w:r w:rsidR="00644FA9" w:rsidRPr="00E41771">
        <w:rPr>
          <w:b/>
          <w:sz w:val="22"/>
          <w:szCs w:val="22"/>
        </w:rPr>
        <w:t xml:space="preserve"> </w:t>
      </w:r>
    </w:p>
    <w:p w:rsidR="00326045" w:rsidRPr="00E41771" w:rsidRDefault="002A44EA" w:rsidP="00BA2C8F">
      <w:pPr>
        <w:spacing w:after="480" w:line="290" w:lineRule="auto"/>
        <w:jc w:val="center"/>
        <w:rPr>
          <w:i/>
          <w:sz w:val="22"/>
          <w:szCs w:val="22"/>
          <w:lang w:val="it-IT"/>
        </w:rPr>
      </w:pPr>
      <w:r w:rsidRPr="00E41771">
        <w:rPr>
          <w:i/>
          <w:sz w:val="22"/>
          <w:szCs w:val="22"/>
          <w:lang w:val="it-IT"/>
        </w:rPr>
        <w:t>Date</w:t>
      </w:r>
      <w:r w:rsidR="003A6BB4" w:rsidRPr="00E41771">
        <w:rPr>
          <w:i/>
          <w:sz w:val="22"/>
          <w:szCs w:val="22"/>
          <w:lang w:val="it-IT"/>
        </w:rPr>
        <w:t xml:space="preserve">: </w:t>
      </w:r>
      <w:r w:rsidR="005F47A2" w:rsidRPr="00E41771">
        <w:rPr>
          <w:i/>
          <w:sz w:val="22"/>
          <w:szCs w:val="22"/>
          <w:lang w:val="it-IT"/>
        </w:rPr>
        <w:t>1-5</w:t>
      </w:r>
      <w:r w:rsidR="00374398" w:rsidRPr="00E41771">
        <w:rPr>
          <w:i/>
          <w:sz w:val="22"/>
          <w:szCs w:val="22"/>
          <w:lang w:val="it-IT"/>
        </w:rPr>
        <w:t xml:space="preserve">April </w:t>
      </w:r>
      <w:r w:rsidR="003A6BB4" w:rsidRPr="00E41771">
        <w:rPr>
          <w:i/>
          <w:sz w:val="22"/>
          <w:szCs w:val="22"/>
          <w:lang w:val="it-IT"/>
        </w:rPr>
        <w:t>201</w:t>
      </w:r>
      <w:r w:rsidR="00FF6F85" w:rsidRPr="00E41771">
        <w:rPr>
          <w:i/>
          <w:sz w:val="22"/>
          <w:szCs w:val="22"/>
          <w:lang w:val="it-IT"/>
        </w:rPr>
        <w:t>9</w:t>
      </w:r>
      <w:r w:rsidRPr="00E41771">
        <w:rPr>
          <w:i/>
          <w:sz w:val="22"/>
          <w:szCs w:val="22"/>
          <w:lang w:val="it-IT"/>
        </w:rPr>
        <w:t xml:space="preserve"> </w:t>
      </w:r>
      <w:r w:rsidR="00BA2C8F" w:rsidRPr="00E41771">
        <w:rPr>
          <w:i/>
          <w:sz w:val="22"/>
          <w:szCs w:val="22"/>
          <w:lang w:val="it-IT"/>
        </w:rPr>
        <w:t>V</w:t>
      </w:r>
      <w:r w:rsidR="007A14FE" w:rsidRPr="00E41771">
        <w:rPr>
          <w:i/>
          <w:sz w:val="22"/>
          <w:szCs w:val="22"/>
          <w:lang w:val="it-IT"/>
        </w:rPr>
        <w:t>enue</w:t>
      </w:r>
      <w:r w:rsidR="00BA2C8F" w:rsidRPr="00E41771">
        <w:rPr>
          <w:i/>
          <w:sz w:val="22"/>
          <w:szCs w:val="22"/>
          <w:lang w:val="it-IT"/>
        </w:rPr>
        <w:t xml:space="preserve">: </w:t>
      </w:r>
      <w:r w:rsidR="005F47A2" w:rsidRPr="00E41771">
        <w:rPr>
          <w:i/>
          <w:sz w:val="22"/>
          <w:szCs w:val="22"/>
          <w:lang w:val="it-IT"/>
        </w:rPr>
        <w:t>JRC Ispra, Italy</w:t>
      </w:r>
    </w:p>
    <w:p w:rsidR="00326045" w:rsidRPr="00E41771" w:rsidRDefault="00326045" w:rsidP="00F126C9">
      <w:pPr>
        <w:autoSpaceDE w:val="0"/>
        <w:autoSpaceDN w:val="0"/>
        <w:adjustRightInd w:val="0"/>
        <w:spacing w:line="290" w:lineRule="auto"/>
        <w:rPr>
          <w:color w:val="000000"/>
          <w:sz w:val="22"/>
          <w:szCs w:val="22"/>
          <w:lang w:val="it-IT"/>
        </w:rPr>
      </w:pPr>
      <w:r w:rsidRPr="00E41771">
        <w:rPr>
          <w:b/>
          <w:bCs/>
          <w:color w:val="000000"/>
          <w:sz w:val="22"/>
          <w:szCs w:val="22"/>
          <w:lang w:val="it-IT"/>
        </w:rPr>
        <w:t xml:space="preserve">DG MARE focal persons: </w:t>
      </w:r>
      <w:r w:rsidR="00BF25BE" w:rsidRPr="00E41771">
        <w:rPr>
          <w:bCs/>
          <w:color w:val="000000"/>
          <w:sz w:val="22"/>
          <w:szCs w:val="22"/>
          <w:lang w:val="it-IT"/>
        </w:rPr>
        <w:t>Chato Osio (MARE D1)</w:t>
      </w:r>
      <w:r w:rsidR="00D84C7B" w:rsidRPr="00E41771">
        <w:rPr>
          <w:bCs/>
          <w:color w:val="000000"/>
          <w:sz w:val="22"/>
          <w:szCs w:val="22"/>
          <w:lang w:val="it-IT"/>
        </w:rPr>
        <w:t xml:space="preserve">, Venetia </w:t>
      </w:r>
      <w:r w:rsidR="00CE15B7" w:rsidRPr="00E41771">
        <w:rPr>
          <w:bCs/>
          <w:color w:val="000000"/>
          <w:sz w:val="22"/>
          <w:szCs w:val="22"/>
          <w:lang w:val="it-IT"/>
        </w:rPr>
        <w:t>Kostopoulou (MARE C3)</w:t>
      </w:r>
      <w:r w:rsidR="00FD7556" w:rsidRPr="00E41771">
        <w:rPr>
          <w:b/>
          <w:bCs/>
          <w:color w:val="000000"/>
          <w:sz w:val="22"/>
          <w:szCs w:val="22"/>
          <w:lang w:val="it-IT"/>
        </w:rPr>
        <w:t xml:space="preserve"> </w:t>
      </w:r>
    </w:p>
    <w:p w:rsidR="00326045" w:rsidRPr="00E41771" w:rsidRDefault="00326045" w:rsidP="002E45EF">
      <w:pPr>
        <w:autoSpaceDE w:val="0"/>
        <w:autoSpaceDN w:val="0"/>
        <w:adjustRightInd w:val="0"/>
        <w:spacing w:after="360" w:line="290" w:lineRule="auto"/>
        <w:rPr>
          <w:color w:val="000000"/>
          <w:sz w:val="22"/>
          <w:szCs w:val="22"/>
        </w:rPr>
      </w:pPr>
      <w:r w:rsidRPr="00E41771">
        <w:rPr>
          <w:b/>
          <w:bCs/>
          <w:color w:val="000000"/>
          <w:sz w:val="22"/>
          <w:szCs w:val="22"/>
        </w:rPr>
        <w:t xml:space="preserve">Chair: </w:t>
      </w:r>
      <w:r w:rsidR="00374398" w:rsidRPr="00E41771">
        <w:rPr>
          <w:bCs/>
          <w:color w:val="000000"/>
          <w:sz w:val="22"/>
          <w:szCs w:val="22"/>
        </w:rPr>
        <w:t>Ernesto Jardim</w:t>
      </w:r>
    </w:p>
    <w:p w:rsidR="00BA2C8F" w:rsidRPr="00E41771" w:rsidRDefault="00CA6B31" w:rsidP="00153CA2">
      <w:pPr>
        <w:spacing w:after="240" w:line="290" w:lineRule="auto"/>
        <w:rPr>
          <w:b/>
          <w:sz w:val="22"/>
          <w:szCs w:val="22"/>
          <w:lang w:eastAsia="en-GB"/>
        </w:rPr>
      </w:pPr>
      <w:r w:rsidRPr="00E41771">
        <w:rPr>
          <w:b/>
          <w:sz w:val="22"/>
          <w:szCs w:val="22"/>
          <w:lang w:eastAsia="en-GB"/>
        </w:rPr>
        <w:t>Background</w:t>
      </w:r>
    </w:p>
    <w:p w:rsidR="00CA6B31" w:rsidRPr="00E41771" w:rsidRDefault="00CA6B31" w:rsidP="00CA6B31">
      <w:pPr>
        <w:spacing w:before="60" w:after="120" w:line="276" w:lineRule="auto"/>
        <w:rPr>
          <w:sz w:val="22"/>
          <w:szCs w:val="22"/>
        </w:rPr>
      </w:pPr>
      <w:r w:rsidRPr="00E41771">
        <w:rPr>
          <w:sz w:val="22"/>
          <w:szCs w:val="22"/>
        </w:rPr>
        <w:t>The Adriatic Sea is the most important FAO fishing area in the Mediterranean Sea both in terms of landings and size of the fleets.</w:t>
      </w:r>
    </w:p>
    <w:p w:rsidR="00CA6B31" w:rsidRPr="00E41771" w:rsidRDefault="00CA6B31" w:rsidP="00CA6B31">
      <w:pPr>
        <w:pStyle w:val="Default"/>
        <w:spacing w:line="276" w:lineRule="auto"/>
        <w:jc w:val="both"/>
        <w:rPr>
          <w:color w:val="auto"/>
          <w:sz w:val="22"/>
          <w:szCs w:val="22"/>
        </w:rPr>
      </w:pPr>
      <w:r w:rsidRPr="00E41771">
        <w:rPr>
          <w:color w:val="auto"/>
          <w:sz w:val="22"/>
          <w:szCs w:val="22"/>
        </w:rPr>
        <w:t>Demersals (i.e. 35000 tons in 2016) make up 25% of the landings in the Adriatic. As for the small pelagics MAPs the EU Member States (MS) are responsible for the majority of the landings in the area with Italy, Croatia and Slovenia contributing to the 90 % of the demersal landings. Albania and Montenegro share respectively 10% and less than 1% of the demersal landings.</w:t>
      </w:r>
    </w:p>
    <w:p w:rsidR="00CA6B31" w:rsidRPr="00E41771" w:rsidRDefault="00CA6B31" w:rsidP="00CA6B31">
      <w:pPr>
        <w:pStyle w:val="ListParagraph"/>
        <w:ind w:left="0"/>
        <w:jc w:val="both"/>
        <w:rPr>
          <w:rFonts w:ascii="Times New Roman" w:hAnsi="Times New Roman"/>
        </w:rPr>
      </w:pPr>
      <w:r w:rsidRPr="00E41771">
        <w:rPr>
          <w:rFonts w:ascii="Times New Roman" w:hAnsi="Times New Roman"/>
        </w:rPr>
        <w:t>There is no management in place in the Adriatic, under GFCM, to control fishing mortality on a yearly basis and in line with scientific advice. Limited spatio-temporal measures are implemented both in Italy and Croatia and since 2017 the Pomo/Jabuka Pit FRA was established to protect juveniles of Hake and Norway lobster.</w:t>
      </w:r>
    </w:p>
    <w:p w:rsidR="00CA6B31" w:rsidRPr="00E41771" w:rsidRDefault="00CA6B31" w:rsidP="00CA6B31">
      <w:pPr>
        <w:pStyle w:val="Default"/>
        <w:spacing w:line="276" w:lineRule="auto"/>
        <w:jc w:val="both"/>
        <w:rPr>
          <w:color w:val="auto"/>
          <w:sz w:val="22"/>
          <w:szCs w:val="22"/>
        </w:rPr>
      </w:pPr>
      <w:r w:rsidRPr="00E41771">
        <w:rPr>
          <w:color w:val="auto"/>
          <w:sz w:val="22"/>
          <w:szCs w:val="22"/>
        </w:rPr>
        <w:t xml:space="preserve">The most important demersal stocks in the Adriatic Sea are overfished and some are at a low biomass level. Overexploitation causes a significant loss in yield which damages fleets profitability. </w:t>
      </w:r>
    </w:p>
    <w:p w:rsidR="00CA6B31" w:rsidRPr="00E41771" w:rsidRDefault="00CA6B31" w:rsidP="00CA6B31">
      <w:pPr>
        <w:pStyle w:val="Default"/>
        <w:spacing w:line="276" w:lineRule="auto"/>
        <w:jc w:val="both"/>
        <w:rPr>
          <w:color w:val="auto"/>
          <w:sz w:val="22"/>
          <w:szCs w:val="22"/>
        </w:rPr>
      </w:pPr>
      <w:r w:rsidRPr="00E41771">
        <w:rPr>
          <w:color w:val="auto"/>
          <w:sz w:val="22"/>
          <w:szCs w:val="22"/>
        </w:rPr>
        <w:t xml:space="preserve">There is a large overcapacity problem coupled with a shallow sea bottom area, which leads to very limited refuge for fish stocks from actively towed gears. The Adriatic Sea is classified as the EU area with the highest trawling footprint, identified as the area where 86% of the bottom surface is trawled with a high trawling frequency. </w:t>
      </w:r>
    </w:p>
    <w:p w:rsidR="00CA6B31" w:rsidRPr="00E41771" w:rsidRDefault="00CA6B31" w:rsidP="00CA6B31">
      <w:pPr>
        <w:pStyle w:val="Default"/>
        <w:spacing w:line="276" w:lineRule="auto"/>
        <w:jc w:val="both"/>
        <w:rPr>
          <w:color w:val="auto"/>
          <w:sz w:val="22"/>
          <w:szCs w:val="22"/>
        </w:rPr>
      </w:pPr>
    </w:p>
    <w:p w:rsidR="00CA6B31" w:rsidRPr="00E41771" w:rsidRDefault="00CA6B31" w:rsidP="00CA6B31">
      <w:pPr>
        <w:pStyle w:val="Default"/>
        <w:spacing w:line="276" w:lineRule="auto"/>
        <w:jc w:val="both"/>
        <w:rPr>
          <w:color w:val="auto"/>
          <w:sz w:val="22"/>
          <w:szCs w:val="22"/>
        </w:rPr>
      </w:pPr>
      <w:r w:rsidRPr="00E41771">
        <w:rPr>
          <w:color w:val="auto"/>
          <w:sz w:val="22"/>
          <w:szCs w:val="22"/>
        </w:rPr>
        <w:t xml:space="preserve">GFCM Scientific Advisory Committee has been tasked in 2018 to develop the scientific elements for an Adriatic demersal management plan to be adopted at GFCM level in 2019. The work under these TORs will be a contribution also to the SAC to facilitate the identification of the best </w:t>
      </w:r>
      <w:r w:rsidR="00646477" w:rsidRPr="00E41771">
        <w:rPr>
          <w:color w:val="auto"/>
          <w:sz w:val="22"/>
          <w:szCs w:val="22"/>
        </w:rPr>
        <w:t>possible management strategies.</w:t>
      </w:r>
    </w:p>
    <w:p w:rsidR="00646477" w:rsidRPr="00E41771" w:rsidRDefault="00646477" w:rsidP="00CA6B31">
      <w:pPr>
        <w:pStyle w:val="Default"/>
        <w:spacing w:line="276" w:lineRule="auto"/>
        <w:jc w:val="both"/>
        <w:rPr>
          <w:color w:val="auto"/>
          <w:sz w:val="22"/>
          <w:szCs w:val="22"/>
        </w:rPr>
      </w:pPr>
    </w:p>
    <w:p w:rsidR="00646477" w:rsidRDefault="00646477" w:rsidP="00153CA2">
      <w:pPr>
        <w:spacing w:after="240" w:line="290" w:lineRule="auto"/>
        <w:rPr>
          <w:b/>
          <w:sz w:val="22"/>
          <w:szCs w:val="22"/>
          <w:lang w:eastAsia="en-GB"/>
        </w:rPr>
      </w:pPr>
      <w:r w:rsidRPr="00E41771">
        <w:rPr>
          <w:b/>
          <w:sz w:val="22"/>
          <w:szCs w:val="22"/>
          <w:lang w:eastAsia="en-GB"/>
        </w:rPr>
        <w:t>A management strategy evaluation is requested to evaluate trade offs and different performance indicators of a portfolio of management options ranging from input/output strategies, technical measures and different implementation time-frames.</w:t>
      </w:r>
    </w:p>
    <w:p w:rsidR="00646477" w:rsidRPr="00E41771" w:rsidRDefault="00646477" w:rsidP="00153CA2">
      <w:pPr>
        <w:spacing w:after="240" w:line="290" w:lineRule="auto"/>
        <w:rPr>
          <w:b/>
          <w:sz w:val="22"/>
          <w:szCs w:val="22"/>
          <w:lang w:eastAsia="en-GB"/>
        </w:rPr>
      </w:pPr>
      <w:r w:rsidRPr="00E41771">
        <w:rPr>
          <w:b/>
          <w:sz w:val="22"/>
          <w:szCs w:val="22"/>
          <w:lang w:eastAsia="en-GB"/>
        </w:rPr>
        <w:t>The key commercial stocks for a demersal MAP have been previously identified by STECF EWGs</w:t>
      </w:r>
      <w:r w:rsidRPr="00E41771">
        <w:rPr>
          <w:rStyle w:val="FootnoteReference"/>
          <w:b/>
          <w:sz w:val="22"/>
          <w:szCs w:val="22"/>
          <w:lang w:eastAsia="en-GB"/>
        </w:rPr>
        <w:footnoteReference w:id="1"/>
      </w:r>
      <w:r w:rsidRPr="00E41771">
        <w:rPr>
          <w:b/>
          <w:sz w:val="22"/>
          <w:szCs w:val="22"/>
          <w:lang w:eastAsia="en-GB"/>
        </w:rPr>
        <w:t xml:space="preserve"> and are </w:t>
      </w:r>
      <w:r w:rsidR="00F32F89" w:rsidRPr="00E41771">
        <w:rPr>
          <w:b/>
          <w:sz w:val="22"/>
          <w:szCs w:val="22"/>
          <w:lang w:eastAsia="en-GB"/>
        </w:rPr>
        <w:t xml:space="preserve">also </w:t>
      </w:r>
      <w:r w:rsidRPr="00E41771">
        <w:rPr>
          <w:b/>
          <w:sz w:val="22"/>
          <w:szCs w:val="22"/>
          <w:lang w:eastAsia="en-GB"/>
        </w:rPr>
        <w:t xml:space="preserve">listed under </w:t>
      </w:r>
      <w:r w:rsidR="00F32F89" w:rsidRPr="00E41771">
        <w:rPr>
          <w:b/>
          <w:sz w:val="22"/>
          <w:szCs w:val="22"/>
          <w:lang w:eastAsia="en-GB"/>
        </w:rPr>
        <w:t xml:space="preserve">GFCM </w:t>
      </w:r>
      <w:r w:rsidRPr="00E41771">
        <w:rPr>
          <w:b/>
          <w:sz w:val="22"/>
          <w:szCs w:val="22"/>
          <w:lang w:eastAsia="en-GB"/>
        </w:rPr>
        <w:t>SAC key priority stocks.</w:t>
      </w:r>
    </w:p>
    <w:p w:rsidR="001A21E5" w:rsidRPr="00E41771" w:rsidRDefault="001A21E5" w:rsidP="00153CA2">
      <w:pPr>
        <w:spacing w:after="240" w:line="290" w:lineRule="auto"/>
        <w:rPr>
          <w:b/>
          <w:sz w:val="22"/>
          <w:szCs w:val="22"/>
          <w:lang w:eastAsia="en-GB"/>
        </w:rPr>
      </w:pPr>
      <w:r w:rsidRPr="00E41771">
        <w:rPr>
          <w:b/>
          <w:sz w:val="22"/>
          <w:szCs w:val="22"/>
          <w:lang w:eastAsia="en-GB"/>
        </w:rPr>
        <w:t xml:space="preserve">For the stocks given in Annex I, the EWG </w:t>
      </w:r>
      <w:r w:rsidR="00FD7B3F" w:rsidRPr="00E41771">
        <w:rPr>
          <w:b/>
          <w:sz w:val="22"/>
          <w:szCs w:val="22"/>
          <w:lang w:eastAsia="en-GB"/>
        </w:rPr>
        <w:t>1</w:t>
      </w:r>
      <w:r w:rsidR="00FF6F85" w:rsidRPr="00E41771">
        <w:rPr>
          <w:b/>
          <w:sz w:val="22"/>
          <w:szCs w:val="22"/>
          <w:lang w:eastAsia="en-GB"/>
        </w:rPr>
        <w:t>9</w:t>
      </w:r>
      <w:r w:rsidR="00B32B14" w:rsidRPr="00E41771">
        <w:rPr>
          <w:b/>
          <w:sz w:val="22"/>
          <w:szCs w:val="22"/>
          <w:lang w:eastAsia="en-GB"/>
        </w:rPr>
        <w:t>-</w:t>
      </w:r>
      <w:r w:rsidR="00A15BAD" w:rsidRPr="00E41771">
        <w:rPr>
          <w:b/>
          <w:sz w:val="22"/>
          <w:szCs w:val="22"/>
          <w:lang w:eastAsia="en-GB"/>
        </w:rPr>
        <w:t xml:space="preserve">02 </w:t>
      </w:r>
      <w:r w:rsidRPr="00E41771">
        <w:rPr>
          <w:b/>
          <w:sz w:val="22"/>
          <w:szCs w:val="22"/>
          <w:lang w:eastAsia="en-GB"/>
        </w:rPr>
        <w:t>is requested:</w:t>
      </w:r>
    </w:p>
    <w:p w:rsidR="006526B3" w:rsidRPr="00E41771" w:rsidRDefault="009C584F" w:rsidP="006526B3">
      <w:pPr>
        <w:spacing w:after="240" w:line="290" w:lineRule="auto"/>
        <w:rPr>
          <w:b/>
          <w:sz w:val="22"/>
          <w:szCs w:val="22"/>
          <w:lang w:eastAsia="en-GB"/>
        </w:rPr>
      </w:pPr>
      <w:r w:rsidRPr="00E41771">
        <w:rPr>
          <w:b/>
          <w:sz w:val="22"/>
          <w:szCs w:val="22"/>
          <w:lang w:eastAsia="en-GB"/>
        </w:rPr>
        <w:t>ToR 1.</w:t>
      </w:r>
      <w:r w:rsidRPr="00E41771">
        <w:rPr>
          <w:b/>
          <w:sz w:val="22"/>
          <w:szCs w:val="22"/>
          <w:lang w:eastAsia="en-GB"/>
        </w:rPr>
        <w:tab/>
      </w:r>
      <w:r w:rsidR="00E41771">
        <w:rPr>
          <w:sz w:val="22"/>
          <w:szCs w:val="22"/>
        </w:rPr>
        <w:t xml:space="preserve"> A</w:t>
      </w:r>
      <w:r w:rsidR="00F32F89" w:rsidRPr="00E41771">
        <w:rPr>
          <w:sz w:val="22"/>
          <w:szCs w:val="22"/>
        </w:rPr>
        <w:t>ssess the likely biological and socio-economic benefits</w:t>
      </w:r>
      <w:r w:rsidR="00D74634">
        <w:rPr>
          <w:sz w:val="22"/>
          <w:szCs w:val="22"/>
        </w:rPr>
        <w:t>, against a baseline status quo scenario,</w:t>
      </w:r>
      <w:r w:rsidR="00F32F89" w:rsidRPr="00E41771">
        <w:rPr>
          <w:sz w:val="22"/>
          <w:szCs w:val="22"/>
        </w:rPr>
        <w:t xml:space="preserve"> of implementing the management options described in the following TORs</w:t>
      </w:r>
      <w:r w:rsidR="00D74634">
        <w:rPr>
          <w:sz w:val="22"/>
          <w:szCs w:val="22"/>
        </w:rPr>
        <w:t xml:space="preserve"> 1-5</w:t>
      </w:r>
      <w:r w:rsidR="006526B3">
        <w:rPr>
          <w:sz w:val="22"/>
          <w:szCs w:val="22"/>
        </w:rPr>
        <w:t>, with priority to the most important scenarios included in TORs 1-3</w:t>
      </w:r>
      <w:r w:rsidR="00F32F89" w:rsidRPr="00E41771">
        <w:rPr>
          <w:sz w:val="22"/>
          <w:szCs w:val="22"/>
        </w:rPr>
        <w:t xml:space="preserve">. </w:t>
      </w:r>
      <w:r w:rsidR="006526B3">
        <w:rPr>
          <w:sz w:val="20"/>
          <w:szCs w:val="20"/>
        </w:rPr>
        <w:t xml:space="preserve">To test the management options use the established approach </w:t>
      </w:r>
      <w:r w:rsidR="006526B3">
        <w:rPr>
          <w:sz w:val="20"/>
          <w:szCs w:val="20"/>
        </w:rPr>
        <w:lastRenderedPageBreak/>
        <w:t xml:space="preserve">implemented in previous EWGs (STECF 2015b, STECF 16-21, STECF 18-01 and STECF 18-02 ) based on the FLR framework (Kell </w:t>
      </w:r>
      <w:r w:rsidR="006526B3">
        <w:rPr>
          <w:i/>
          <w:iCs/>
          <w:sz w:val="20"/>
          <w:szCs w:val="20"/>
        </w:rPr>
        <w:t>et.al</w:t>
      </w:r>
      <w:r w:rsidR="006526B3">
        <w:rPr>
          <w:sz w:val="20"/>
          <w:szCs w:val="20"/>
        </w:rPr>
        <w:t>, 2007).</w:t>
      </w:r>
    </w:p>
    <w:p w:rsidR="00F32F89" w:rsidRPr="00E41771" w:rsidRDefault="00F32F89" w:rsidP="00F32F89">
      <w:pPr>
        <w:spacing w:after="240" w:line="290" w:lineRule="auto"/>
        <w:ind w:left="1134" w:hanging="1134"/>
        <w:rPr>
          <w:b/>
          <w:sz w:val="22"/>
          <w:szCs w:val="22"/>
          <w:lang w:eastAsia="en-GB"/>
        </w:rPr>
      </w:pPr>
    </w:p>
    <w:p w:rsidR="00F32F89" w:rsidRPr="00E41771" w:rsidRDefault="00F32F89" w:rsidP="006526B3">
      <w:pPr>
        <w:pStyle w:val="Default"/>
        <w:rPr>
          <w:sz w:val="22"/>
          <w:szCs w:val="22"/>
        </w:rPr>
      </w:pPr>
      <w:r w:rsidRPr="00E41771">
        <w:rPr>
          <w:sz w:val="22"/>
          <w:szCs w:val="22"/>
        </w:rPr>
        <w:t xml:space="preserve">For each scenario, STECF-EWG 19-02 is requested to run the appropriate forecast models in order to describe the likely situation of the fisheries up to 2035 and using the indicators given below: </w:t>
      </w:r>
    </w:p>
    <w:p w:rsidR="00F32F89" w:rsidRPr="00E41771" w:rsidRDefault="00F32F89" w:rsidP="00197C07">
      <w:pPr>
        <w:pStyle w:val="Default"/>
        <w:spacing w:after="173"/>
        <w:ind w:left="1854"/>
        <w:rPr>
          <w:sz w:val="22"/>
          <w:szCs w:val="22"/>
        </w:rPr>
      </w:pPr>
      <w:r w:rsidRPr="00E41771">
        <w:rPr>
          <w:sz w:val="22"/>
          <w:szCs w:val="22"/>
        </w:rPr>
        <w:t xml:space="preserve">- </w:t>
      </w:r>
      <w:r w:rsidR="00D74634">
        <w:rPr>
          <w:sz w:val="22"/>
          <w:szCs w:val="22"/>
        </w:rPr>
        <w:t xml:space="preserve">Fisheries indicators: </w:t>
      </w:r>
      <w:r w:rsidRPr="00E41771">
        <w:rPr>
          <w:sz w:val="22"/>
          <w:szCs w:val="22"/>
        </w:rPr>
        <w:t xml:space="preserve">fishing mortality relative to Fmsy (F/Fmsy); </w:t>
      </w:r>
    </w:p>
    <w:p w:rsidR="00F32F89" w:rsidRPr="00D74634" w:rsidRDefault="00F32F89" w:rsidP="00D74634">
      <w:pPr>
        <w:pStyle w:val="ListParagraph"/>
        <w:spacing w:before="100" w:beforeAutospacing="1" w:after="100" w:afterAutospacing="1" w:line="240" w:lineRule="auto"/>
        <w:ind w:left="1985" w:hanging="142"/>
        <w:contextualSpacing w:val="0"/>
        <w:jc w:val="both"/>
        <w:rPr>
          <w:rFonts w:ascii="Times New Roman" w:eastAsia="Times New Roman" w:hAnsi="Times New Roman"/>
          <w:lang w:val="en-US" w:eastAsia="de-DE" w:bidi="en-US"/>
        </w:rPr>
      </w:pPr>
      <w:r w:rsidRPr="00D74634">
        <w:rPr>
          <w:rFonts w:ascii="Times New Roman" w:hAnsi="Times New Roman"/>
        </w:rPr>
        <w:t xml:space="preserve">- Biological indicators: abundance (SSB and total biomass), recruitment, </w:t>
      </w:r>
      <w:r w:rsidR="00D74634">
        <w:rPr>
          <w:rFonts w:ascii="Times New Roman" w:eastAsia="Times New Roman" w:hAnsi="Times New Roman"/>
          <w:lang w:val="en-US" w:eastAsia="de-DE" w:bidi="en-US"/>
        </w:rPr>
        <w:t>p</w:t>
      </w:r>
      <w:r w:rsidR="00D74634" w:rsidRPr="00D74634">
        <w:rPr>
          <w:rFonts w:ascii="Times New Roman" w:eastAsia="Times New Roman" w:hAnsi="Times New Roman"/>
          <w:lang w:val="en-US" w:eastAsia="de-DE" w:bidi="en-US"/>
        </w:rPr>
        <w:t>robability of SSB falling below Blim, Risk vs catch level, Catch variability, Average catch</w:t>
      </w:r>
      <w:r w:rsidR="00D74634">
        <w:rPr>
          <w:rFonts w:ascii="Times New Roman" w:eastAsia="Times New Roman" w:hAnsi="Times New Roman"/>
          <w:lang w:val="en-US" w:eastAsia="de-DE" w:bidi="en-US"/>
        </w:rPr>
        <w:t>.</w:t>
      </w:r>
    </w:p>
    <w:p w:rsidR="00F32F89" w:rsidRDefault="00F32F89" w:rsidP="00D74634">
      <w:pPr>
        <w:pStyle w:val="Default"/>
        <w:ind w:left="1985" w:hanging="142"/>
        <w:rPr>
          <w:sz w:val="22"/>
          <w:szCs w:val="22"/>
        </w:rPr>
      </w:pPr>
      <w:r w:rsidRPr="00E41771">
        <w:rPr>
          <w:sz w:val="22"/>
          <w:szCs w:val="22"/>
        </w:rPr>
        <w:t>- Socio-economic indicators: GVA, salary and employment</w:t>
      </w:r>
      <w:r w:rsidR="00197C07" w:rsidRPr="00E41771">
        <w:rPr>
          <w:sz w:val="22"/>
          <w:szCs w:val="22"/>
        </w:rPr>
        <w:t>, in line with the methodology outlined in STECF-EWG 16-02 or on the basis of different viable approaches</w:t>
      </w:r>
      <w:r w:rsidRPr="00E41771">
        <w:rPr>
          <w:sz w:val="22"/>
          <w:szCs w:val="22"/>
        </w:rPr>
        <w:t xml:space="preserve">. </w:t>
      </w:r>
    </w:p>
    <w:p w:rsidR="00CE00CB" w:rsidRPr="00E41771" w:rsidRDefault="00CE00CB" w:rsidP="00D74634">
      <w:pPr>
        <w:pStyle w:val="Default"/>
        <w:ind w:left="1985" w:hanging="142"/>
        <w:rPr>
          <w:sz w:val="22"/>
          <w:szCs w:val="22"/>
        </w:rPr>
      </w:pPr>
    </w:p>
    <w:p w:rsidR="00F32F89" w:rsidRPr="00E41771" w:rsidRDefault="00F32F89" w:rsidP="00F32F89">
      <w:pPr>
        <w:pStyle w:val="Default"/>
        <w:rPr>
          <w:sz w:val="22"/>
          <w:szCs w:val="22"/>
        </w:rPr>
      </w:pPr>
    </w:p>
    <w:p w:rsidR="00FB033C" w:rsidRPr="00E41771" w:rsidRDefault="00FB033C" w:rsidP="001F64AA">
      <w:pPr>
        <w:widowControl w:val="0"/>
        <w:tabs>
          <w:tab w:val="left" w:pos="745"/>
        </w:tabs>
        <w:spacing w:after="116" w:line="250" w:lineRule="exact"/>
        <w:rPr>
          <w:b/>
          <w:sz w:val="22"/>
          <w:szCs w:val="22"/>
        </w:rPr>
      </w:pPr>
      <w:r w:rsidRPr="00E41771">
        <w:rPr>
          <w:b/>
          <w:sz w:val="22"/>
          <w:szCs w:val="22"/>
        </w:rPr>
        <w:t>TOR 2 Operating Model</w:t>
      </w:r>
    </w:p>
    <w:p w:rsidR="00FB033C" w:rsidRPr="00E41771" w:rsidRDefault="00FB033C" w:rsidP="00FB033C">
      <w:pPr>
        <w:spacing w:after="240" w:line="290" w:lineRule="auto"/>
        <w:ind w:left="1854" w:hanging="1134"/>
        <w:rPr>
          <w:b/>
          <w:sz w:val="22"/>
          <w:szCs w:val="22"/>
          <w:lang w:eastAsia="en-GB"/>
        </w:rPr>
      </w:pPr>
      <w:r w:rsidRPr="00E41771">
        <w:rPr>
          <w:b/>
          <w:sz w:val="22"/>
          <w:szCs w:val="22"/>
          <w:lang w:eastAsia="en-GB"/>
        </w:rPr>
        <w:t xml:space="preserve">Identification of stock assessments: </w:t>
      </w:r>
    </w:p>
    <w:p w:rsidR="00FB033C" w:rsidRPr="00E41771" w:rsidRDefault="00FB033C" w:rsidP="00542D46">
      <w:pPr>
        <w:numPr>
          <w:ilvl w:val="0"/>
          <w:numId w:val="34"/>
        </w:numPr>
        <w:autoSpaceDE w:val="0"/>
        <w:autoSpaceDN w:val="0"/>
        <w:adjustRightInd w:val="0"/>
        <w:jc w:val="left"/>
        <w:rPr>
          <w:sz w:val="22"/>
          <w:szCs w:val="22"/>
          <w:lang w:eastAsia="en-GB"/>
        </w:rPr>
      </w:pPr>
      <w:r w:rsidRPr="00E41771">
        <w:rPr>
          <w:sz w:val="22"/>
          <w:szCs w:val="22"/>
          <w:lang w:val="en-US" w:eastAsia="en-US"/>
        </w:rPr>
        <w:t>The biological operating model (OM) for the MSE shall be conditioned using the assessment results from the</w:t>
      </w:r>
      <w:r w:rsidRPr="00E41771">
        <w:rPr>
          <w:sz w:val="22"/>
          <w:szCs w:val="22"/>
          <w:lang w:eastAsia="en-GB"/>
        </w:rPr>
        <w:t xml:space="preserve"> most updated stocks assessment produced by GFCM WGSAD and were necessary complemented by STECF assessments to account for stock assessment model uncertainty in the OM. The EWG shall give preference to models that allow estimation of uncertainty, in line with the recommendations of SAC and STECF EWG 17-07.</w:t>
      </w:r>
    </w:p>
    <w:p w:rsidR="00542D46" w:rsidRPr="00E41771" w:rsidRDefault="00542D46" w:rsidP="00542D46">
      <w:pPr>
        <w:numPr>
          <w:ilvl w:val="0"/>
          <w:numId w:val="34"/>
        </w:numPr>
        <w:spacing w:after="240" w:line="290" w:lineRule="auto"/>
        <w:rPr>
          <w:sz w:val="22"/>
          <w:szCs w:val="22"/>
        </w:rPr>
      </w:pPr>
      <w:r w:rsidRPr="00E41771">
        <w:rPr>
          <w:sz w:val="22"/>
          <w:szCs w:val="22"/>
        </w:rPr>
        <w:t>In the operating model evaluate alternative recruitment models (SR)</w:t>
      </w:r>
      <w:r w:rsidR="00D74634">
        <w:rPr>
          <w:sz w:val="22"/>
          <w:szCs w:val="22"/>
        </w:rPr>
        <w:t>.</w:t>
      </w:r>
    </w:p>
    <w:p w:rsidR="00542D46" w:rsidRPr="00E41771" w:rsidRDefault="00542D46" w:rsidP="00542D46">
      <w:pPr>
        <w:numPr>
          <w:ilvl w:val="0"/>
          <w:numId w:val="34"/>
        </w:numPr>
        <w:spacing w:after="240" w:line="290" w:lineRule="auto"/>
        <w:rPr>
          <w:sz w:val="22"/>
          <w:szCs w:val="22"/>
        </w:rPr>
      </w:pPr>
      <w:r w:rsidRPr="00E41771">
        <w:rPr>
          <w:sz w:val="22"/>
          <w:szCs w:val="22"/>
        </w:rPr>
        <w:t xml:space="preserve">Use reference points from the stock assessments </w:t>
      </w:r>
    </w:p>
    <w:p w:rsidR="00542D46" w:rsidRPr="00E41771" w:rsidRDefault="00542D46" w:rsidP="00FB033C">
      <w:pPr>
        <w:autoSpaceDE w:val="0"/>
        <w:autoSpaceDN w:val="0"/>
        <w:adjustRightInd w:val="0"/>
        <w:jc w:val="left"/>
        <w:rPr>
          <w:sz w:val="22"/>
          <w:szCs w:val="22"/>
          <w:lang w:eastAsia="en-GB"/>
        </w:rPr>
      </w:pPr>
    </w:p>
    <w:p w:rsidR="00D74634" w:rsidRDefault="00656938" w:rsidP="001F64AA">
      <w:pPr>
        <w:widowControl w:val="0"/>
        <w:tabs>
          <w:tab w:val="left" w:pos="745"/>
        </w:tabs>
        <w:spacing w:after="116" w:line="250" w:lineRule="exact"/>
        <w:rPr>
          <w:sz w:val="22"/>
          <w:szCs w:val="22"/>
        </w:rPr>
      </w:pPr>
      <w:r w:rsidRPr="00E41771">
        <w:rPr>
          <w:b/>
          <w:sz w:val="22"/>
          <w:szCs w:val="22"/>
        </w:rPr>
        <w:t>T</w:t>
      </w:r>
      <w:r w:rsidR="00542D46" w:rsidRPr="00E41771">
        <w:rPr>
          <w:b/>
          <w:sz w:val="22"/>
          <w:szCs w:val="22"/>
        </w:rPr>
        <w:t>O</w:t>
      </w:r>
      <w:r w:rsidRPr="00E41771">
        <w:rPr>
          <w:b/>
          <w:sz w:val="22"/>
          <w:szCs w:val="22"/>
        </w:rPr>
        <w:t xml:space="preserve">R </w:t>
      </w:r>
      <w:r w:rsidR="00FB033C" w:rsidRPr="00E41771">
        <w:rPr>
          <w:b/>
          <w:sz w:val="22"/>
          <w:szCs w:val="22"/>
        </w:rPr>
        <w:t>3</w:t>
      </w:r>
      <w:r w:rsidR="005974A1" w:rsidRPr="00E41771">
        <w:rPr>
          <w:b/>
          <w:sz w:val="22"/>
          <w:szCs w:val="22"/>
        </w:rPr>
        <w:t>.</w:t>
      </w:r>
      <w:r w:rsidRPr="00E41771">
        <w:rPr>
          <w:sz w:val="22"/>
          <w:szCs w:val="22"/>
        </w:rPr>
        <w:t xml:space="preserve"> </w:t>
      </w:r>
      <w:r w:rsidR="00D74634" w:rsidRPr="00D74634">
        <w:rPr>
          <w:b/>
          <w:sz w:val="22"/>
          <w:szCs w:val="22"/>
          <w:lang w:val="en-US" w:eastAsia="en-US"/>
        </w:rPr>
        <w:t>Management Procedure</w:t>
      </w:r>
      <w:r w:rsidR="006526B3">
        <w:rPr>
          <w:b/>
          <w:sz w:val="22"/>
          <w:szCs w:val="22"/>
          <w:lang w:val="en-US" w:eastAsia="en-US"/>
        </w:rPr>
        <w:t xml:space="preserve"> A</w:t>
      </w:r>
    </w:p>
    <w:p w:rsidR="001F64AA" w:rsidRPr="00E41771" w:rsidRDefault="00FB033C" w:rsidP="001F64AA">
      <w:pPr>
        <w:widowControl w:val="0"/>
        <w:tabs>
          <w:tab w:val="left" w:pos="745"/>
        </w:tabs>
        <w:spacing w:after="116" w:line="250" w:lineRule="exact"/>
        <w:rPr>
          <w:sz w:val="22"/>
          <w:szCs w:val="22"/>
        </w:rPr>
      </w:pPr>
      <w:r w:rsidRPr="00E41771">
        <w:rPr>
          <w:sz w:val="22"/>
          <w:szCs w:val="22"/>
        </w:rPr>
        <w:t xml:space="preserve">For the </w:t>
      </w:r>
      <w:r w:rsidRPr="00E41771">
        <w:rPr>
          <w:sz w:val="22"/>
          <w:szCs w:val="22"/>
          <w:lang w:val="en-US" w:eastAsia="en-US"/>
        </w:rPr>
        <w:t>Management Procedure (MP) test the following management scenarios</w:t>
      </w:r>
      <w:r w:rsidR="001F64AA" w:rsidRPr="00E41771">
        <w:rPr>
          <w:sz w:val="22"/>
          <w:szCs w:val="22"/>
        </w:rPr>
        <w:t>:</w:t>
      </w:r>
    </w:p>
    <w:p w:rsidR="00FB033C" w:rsidRPr="00E41771" w:rsidRDefault="00207E54" w:rsidP="00207E54">
      <w:pPr>
        <w:widowControl w:val="0"/>
        <w:numPr>
          <w:ilvl w:val="0"/>
          <w:numId w:val="31"/>
        </w:numPr>
        <w:tabs>
          <w:tab w:val="left" w:pos="745"/>
        </w:tabs>
        <w:spacing w:after="116" w:line="250" w:lineRule="exact"/>
        <w:ind w:left="927" w:hanging="360"/>
        <w:rPr>
          <w:sz w:val="22"/>
          <w:szCs w:val="22"/>
          <w:lang w:val="en-US" w:bidi="en-US"/>
        </w:rPr>
      </w:pPr>
      <w:r w:rsidRPr="00E41771">
        <w:rPr>
          <w:sz w:val="22"/>
          <w:szCs w:val="22"/>
          <w:lang w:val="en-US" w:bidi="en-US"/>
        </w:rPr>
        <w:t xml:space="preserve"> </w:t>
      </w:r>
      <w:r w:rsidR="00FB033C" w:rsidRPr="00E41771">
        <w:rPr>
          <w:sz w:val="22"/>
          <w:szCs w:val="22"/>
          <w:lang w:val="en-US" w:bidi="en-US"/>
        </w:rPr>
        <w:t>Under the different MPs</w:t>
      </w:r>
      <w:r w:rsidR="001F64AA" w:rsidRPr="00E41771">
        <w:rPr>
          <w:sz w:val="22"/>
          <w:szCs w:val="22"/>
          <w:lang w:val="en-US" w:bidi="en-US"/>
        </w:rPr>
        <w:t xml:space="preserve"> exploitation levels of </w:t>
      </w:r>
      <w:r w:rsidR="00542D46" w:rsidRPr="00E41771">
        <w:rPr>
          <w:sz w:val="22"/>
          <w:szCs w:val="22"/>
          <w:lang w:val="en-US" w:bidi="en-US"/>
        </w:rPr>
        <w:t xml:space="preserve">all </w:t>
      </w:r>
      <w:r w:rsidR="001F64AA" w:rsidRPr="00E41771">
        <w:rPr>
          <w:sz w:val="22"/>
          <w:szCs w:val="22"/>
          <w:lang w:val="en-US" w:bidi="en-US"/>
        </w:rPr>
        <w:t xml:space="preserve">key stocks </w:t>
      </w:r>
      <w:r w:rsidR="00542D46" w:rsidRPr="00E41771">
        <w:rPr>
          <w:sz w:val="22"/>
          <w:szCs w:val="22"/>
          <w:lang w:val="en-US" w:bidi="en-US"/>
        </w:rPr>
        <w:t>shall reach</w:t>
      </w:r>
      <w:r w:rsidR="001F64AA" w:rsidRPr="00E41771">
        <w:rPr>
          <w:sz w:val="22"/>
          <w:szCs w:val="22"/>
          <w:lang w:val="en-US" w:bidi="en-US"/>
        </w:rPr>
        <w:t xml:space="preserve"> the maximum sustainable yield (Fmsy) by</w:t>
      </w:r>
      <w:r w:rsidR="00FB033C" w:rsidRPr="00E41771">
        <w:rPr>
          <w:sz w:val="22"/>
          <w:szCs w:val="22"/>
          <w:lang w:val="en-US" w:bidi="en-US"/>
        </w:rPr>
        <w:t>:</w:t>
      </w:r>
    </w:p>
    <w:p w:rsidR="00FB033C" w:rsidRPr="00E41771" w:rsidRDefault="001F64AA" w:rsidP="00D74634">
      <w:pPr>
        <w:widowControl w:val="0"/>
        <w:numPr>
          <w:ilvl w:val="1"/>
          <w:numId w:val="40"/>
        </w:numPr>
        <w:tabs>
          <w:tab w:val="left" w:pos="745"/>
        </w:tabs>
        <w:spacing w:after="116" w:line="250" w:lineRule="exact"/>
        <w:ind w:left="927" w:hanging="360"/>
        <w:rPr>
          <w:sz w:val="22"/>
          <w:szCs w:val="22"/>
          <w:lang w:val="en-US" w:bidi="en-US"/>
        </w:rPr>
      </w:pPr>
      <w:r w:rsidRPr="00E41771">
        <w:rPr>
          <w:sz w:val="22"/>
          <w:szCs w:val="22"/>
          <w:lang w:val="en-US" w:bidi="en-US"/>
        </w:rPr>
        <w:t xml:space="preserve"> 2020 </w:t>
      </w:r>
      <w:r w:rsidR="006E4D05" w:rsidRPr="00E41771">
        <w:rPr>
          <w:sz w:val="22"/>
          <w:szCs w:val="22"/>
          <w:lang w:val="en-US" w:bidi="en-US"/>
        </w:rPr>
        <w:t>(</w:t>
      </w:r>
      <w:r w:rsidR="006E4D05" w:rsidRPr="00E41771">
        <w:rPr>
          <w:b/>
          <w:sz w:val="22"/>
          <w:szCs w:val="22"/>
          <w:lang w:val="en-US" w:bidi="en-US"/>
        </w:rPr>
        <w:t>Fmsy2020</w:t>
      </w:r>
      <w:r w:rsidR="006E4D05" w:rsidRPr="00E41771">
        <w:rPr>
          <w:sz w:val="22"/>
          <w:szCs w:val="22"/>
          <w:lang w:val="en-US" w:bidi="en-US"/>
        </w:rPr>
        <w:t>)</w:t>
      </w:r>
      <w:r w:rsidR="00FB033C" w:rsidRPr="00E41771">
        <w:rPr>
          <w:sz w:val="22"/>
          <w:szCs w:val="22"/>
          <w:lang w:val="en-US" w:bidi="en-US"/>
        </w:rPr>
        <w:t>,</w:t>
      </w:r>
      <w:r w:rsidR="006E4D05" w:rsidRPr="00E41771">
        <w:rPr>
          <w:sz w:val="22"/>
          <w:szCs w:val="22"/>
          <w:lang w:val="en-US" w:bidi="en-US"/>
        </w:rPr>
        <w:t xml:space="preserve"> </w:t>
      </w:r>
    </w:p>
    <w:p w:rsidR="00542D46" w:rsidRPr="00E41771" w:rsidRDefault="001F64AA" w:rsidP="00D74634">
      <w:pPr>
        <w:widowControl w:val="0"/>
        <w:numPr>
          <w:ilvl w:val="1"/>
          <w:numId w:val="40"/>
        </w:numPr>
        <w:tabs>
          <w:tab w:val="left" w:pos="745"/>
        </w:tabs>
        <w:spacing w:after="116" w:line="250" w:lineRule="exact"/>
        <w:ind w:left="927" w:hanging="360"/>
        <w:rPr>
          <w:sz w:val="22"/>
          <w:szCs w:val="22"/>
          <w:lang w:val="en-US" w:bidi="en-US"/>
        </w:rPr>
      </w:pPr>
      <w:r w:rsidRPr="00E41771">
        <w:rPr>
          <w:sz w:val="22"/>
          <w:szCs w:val="22"/>
          <w:lang w:val="en-US" w:bidi="en-US"/>
        </w:rPr>
        <w:t xml:space="preserve"> 2024 </w:t>
      </w:r>
      <w:r w:rsidR="006E4D05" w:rsidRPr="00E41771">
        <w:rPr>
          <w:sz w:val="22"/>
          <w:szCs w:val="22"/>
          <w:lang w:val="en-US" w:bidi="en-US"/>
        </w:rPr>
        <w:t>(</w:t>
      </w:r>
      <w:r w:rsidR="006E4D05" w:rsidRPr="00E41771">
        <w:rPr>
          <w:b/>
          <w:sz w:val="22"/>
          <w:szCs w:val="22"/>
          <w:lang w:val="en-US" w:bidi="en-US"/>
        </w:rPr>
        <w:t>Fmsy2024</w:t>
      </w:r>
      <w:r w:rsidR="006E4D05" w:rsidRPr="00E41771">
        <w:rPr>
          <w:sz w:val="22"/>
          <w:szCs w:val="22"/>
          <w:lang w:val="en-US" w:bidi="en-US"/>
        </w:rPr>
        <w:t>)</w:t>
      </w:r>
      <w:r w:rsidR="00FB033C" w:rsidRPr="00E41771">
        <w:rPr>
          <w:sz w:val="22"/>
          <w:szCs w:val="22"/>
          <w:lang w:val="en-US" w:bidi="en-US"/>
        </w:rPr>
        <w:t>,</w:t>
      </w:r>
    </w:p>
    <w:p w:rsidR="00542D46" w:rsidRPr="00E41771" w:rsidRDefault="00542D46" w:rsidP="00D74634">
      <w:pPr>
        <w:widowControl w:val="0"/>
        <w:numPr>
          <w:ilvl w:val="1"/>
          <w:numId w:val="40"/>
        </w:numPr>
        <w:tabs>
          <w:tab w:val="left" w:pos="745"/>
        </w:tabs>
        <w:spacing w:after="116" w:line="250" w:lineRule="exact"/>
        <w:ind w:left="927" w:hanging="360"/>
        <w:rPr>
          <w:sz w:val="22"/>
          <w:szCs w:val="22"/>
          <w:lang w:val="en-US" w:bidi="en-US"/>
        </w:rPr>
      </w:pPr>
      <w:r w:rsidRPr="00E41771">
        <w:rPr>
          <w:sz w:val="22"/>
          <w:szCs w:val="22"/>
          <w:lang w:val="en-US" w:bidi="en-US"/>
        </w:rPr>
        <w:t>R</w:t>
      </w:r>
      <w:r w:rsidR="001F64AA" w:rsidRPr="00E41771">
        <w:rPr>
          <w:sz w:val="22"/>
          <w:szCs w:val="22"/>
          <w:lang w:val="en-US" w:bidi="en-US"/>
        </w:rPr>
        <w:t xml:space="preserve">eduction of fishing </w:t>
      </w:r>
      <w:r w:rsidRPr="00E41771">
        <w:rPr>
          <w:sz w:val="22"/>
          <w:szCs w:val="22"/>
          <w:lang w:val="en-US" w:bidi="en-US"/>
        </w:rPr>
        <w:t>mortality by</w:t>
      </w:r>
      <w:r w:rsidR="001F64AA" w:rsidRPr="00E41771">
        <w:rPr>
          <w:sz w:val="22"/>
          <w:szCs w:val="22"/>
          <w:lang w:val="en-US" w:bidi="en-US"/>
        </w:rPr>
        <w:t xml:space="preserve"> 10% </w:t>
      </w:r>
      <w:r w:rsidR="00FB033C" w:rsidRPr="00E41771">
        <w:rPr>
          <w:sz w:val="22"/>
          <w:szCs w:val="22"/>
          <w:lang w:val="en-US" w:bidi="en-US"/>
        </w:rPr>
        <w:t>in 2020, 8% in 2021</w:t>
      </w:r>
      <w:r w:rsidR="001F64AA" w:rsidRPr="00E41771">
        <w:rPr>
          <w:sz w:val="22"/>
          <w:szCs w:val="22"/>
          <w:lang w:val="en-US" w:bidi="en-US"/>
        </w:rPr>
        <w:t xml:space="preserve">, and </w:t>
      </w:r>
      <w:r w:rsidRPr="00E41771">
        <w:rPr>
          <w:sz w:val="22"/>
          <w:szCs w:val="22"/>
          <w:lang w:val="en-US" w:bidi="en-US"/>
        </w:rPr>
        <w:t xml:space="preserve">then </w:t>
      </w:r>
      <w:r w:rsidR="00D74634">
        <w:rPr>
          <w:sz w:val="22"/>
          <w:szCs w:val="22"/>
          <w:lang w:val="en-US" w:bidi="en-US"/>
        </w:rPr>
        <w:t>linear reduction in F to achieve</w:t>
      </w:r>
      <w:r w:rsidRPr="00E41771">
        <w:rPr>
          <w:sz w:val="22"/>
          <w:szCs w:val="22"/>
          <w:lang w:val="en-US" w:bidi="en-US"/>
        </w:rPr>
        <w:t xml:space="preserve"> Fmsy by 2024</w:t>
      </w:r>
      <w:r w:rsidR="006E4D05" w:rsidRPr="00E41771">
        <w:rPr>
          <w:sz w:val="22"/>
          <w:szCs w:val="22"/>
          <w:lang w:val="en-US" w:bidi="en-US"/>
        </w:rPr>
        <w:t xml:space="preserve"> (</w:t>
      </w:r>
      <w:r w:rsidR="006E4D05" w:rsidRPr="00E41771">
        <w:rPr>
          <w:b/>
          <w:sz w:val="22"/>
          <w:szCs w:val="22"/>
          <w:lang w:val="en-US" w:bidi="en-US"/>
        </w:rPr>
        <w:t>FIXREDUX</w:t>
      </w:r>
      <w:r w:rsidR="006E4D05" w:rsidRPr="00E41771">
        <w:rPr>
          <w:sz w:val="22"/>
          <w:szCs w:val="22"/>
          <w:lang w:val="en-US" w:bidi="en-US"/>
        </w:rPr>
        <w:t>)</w:t>
      </w:r>
      <w:r w:rsidR="001F64AA" w:rsidRPr="00E41771">
        <w:rPr>
          <w:sz w:val="22"/>
          <w:szCs w:val="22"/>
          <w:lang w:val="en-US" w:bidi="en-US"/>
        </w:rPr>
        <w:t>.</w:t>
      </w:r>
    </w:p>
    <w:p w:rsidR="00542D46" w:rsidRPr="00E41771" w:rsidRDefault="00542D46" w:rsidP="00542D46">
      <w:pPr>
        <w:widowControl w:val="0"/>
        <w:numPr>
          <w:ilvl w:val="0"/>
          <w:numId w:val="31"/>
        </w:numPr>
        <w:tabs>
          <w:tab w:val="left" w:pos="745"/>
        </w:tabs>
        <w:spacing w:after="116" w:line="250" w:lineRule="exact"/>
        <w:ind w:left="927" w:hanging="360"/>
        <w:rPr>
          <w:sz w:val="22"/>
          <w:szCs w:val="22"/>
          <w:lang w:val="en-US" w:bidi="en-US"/>
        </w:rPr>
      </w:pPr>
      <w:r w:rsidRPr="00E41771">
        <w:rPr>
          <w:sz w:val="22"/>
          <w:szCs w:val="22"/>
        </w:rPr>
        <w:t xml:space="preserve"> </w:t>
      </w:r>
      <w:r w:rsidR="004136F4" w:rsidRPr="00E41771">
        <w:rPr>
          <w:sz w:val="22"/>
          <w:szCs w:val="22"/>
        </w:rPr>
        <w:t xml:space="preserve">Simulate the management mechanism to mimic </w:t>
      </w:r>
      <w:r w:rsidR="00715CAF" w:rsidRPr="00E41771">
        <w:rPr>
          <w:sz w:val="22"/>
          <w:szCs w:val="22"/>
        </w:rPr>
        <w:t xml:space="preserve">the advisory process of </w:t>
      </w:r>
      <w:r w:rsidR="00CE00CB">
        <w:rPr>
          <w:sz w:val="22"/>
          <w:szCs w:val="22"/>
        </w:rPr>
        <w:t xml:space="preserve">GFCM </w:t>
      </w:r>
      <w:r w:rsidR="00715CAF" w:rsidRPr="00E41771">
        <w:rPr>
          <w:sz w:val="22"/>
          <w:szCs w:val="22"/>
        </w:rPr>
        <w:t>SAC and timing for adoption of management measures in GFCM, which operates on a N+2</w:t>
      </w:r>
      <w:r w:rsidRPr="00E41771">
        <w:rPr>
          <w:sz w:val="22"/>
          <w:szCs w:val="22"/>
        </w:rPr>
        <w:t xml:space="preserve"> basis</w:t>
      </w:r>
      <w:r w:rsidR="00715CAF" w:rsidRPr="00E41771">
        <w:rPr>
          <w:sz w:val="22"/>
          <w:szCs w:val="22"/>
        </w:rPr>
        <w:t>.</w:t>
      </w:r>
    </w:p>
    <w:p w:rsidR="00542D46" w:rsidRPr="00E41771" w:rsidRDefault="00542D46" w:rsidP="00542D46">
      <w:pPr>
        <w:widowControl w:val="0"/>
        <w:numPr>
          <w:ilvl w:val="0"/>
          <w:numId w:val="31"/>
        </w:numPr>
        <w:tabs>
          <w:tab w:val="left" w:pos="745"/>
        </w:tabs>
        <w:spacing w:after="116" w:line="250" w:lineRule="exact"/>
        <w:ind w:left="927" w:hanging="360"/>
        <w:rPr>
          <w:sz w:val="22"/>
          <w:szCs w:val="22"/>
          <w:lang w:val="en-US" w:bidi="en-US"/>
        </w:rPr>
      </w:pPr>
      <w:r w:rsidRPr="00E41771">
        <w:rPr>
          <w:sz w:val="22"/>
          <w:szCs w:val="22"/>
          <w:lang w:val="en-US"/>
        </w:rPr>
        <w:t>Develop two management procedures</w:t>
      </w:r>
      <w:r w:rsidR="008C60E7" w:rsidRPr="00E41771">
        <w:rPr>
          <w:sz w:val="22"/>
          <w:szCs w:val="22"/>
          <w:lang w:val="en-US"/>
        </w:rPr>
        <w:t xml:space="preserve"> for controlling F</w:t>
      </w:r>
      <w:r w:rsidRPr="00E41771">
        <w:rPr>
          <w:sz w:val="22"/>
          <w:szCs w:val="22"/>
          <w:lang w:val="en-US"/>
        </w:rPr>
        <w:t>:</w:t>
      </w:r>
    </w:p>
    <w:p w:rsidR="00715CAF" w:rsidRPr="00E41771" w:rsidRDefault="00542D46" w:rsidP="008C60E7">
      <w:pPr>
        <w:widowControl w:val="0"/>
        <w:numPr>
          <w:ilvl w:val="8"/>
          <w:numId w:val="31"/>
        </w:numPr>
        <w:tabs>
          <w:tab w:val="left" w:pos="745"/>
        </w:tabs>
        <w:spacing w:after="116" w:line="250" w:lineRule="exact"/>
        <w:ind w:left="1134" w:hanging="283"/>
        <w:rPr>
          <w:sz w:val="22"/>
          <w:szCs w:val="22"/>
          <w:lang w:val="en-US" w:bidi="en-US"/>
        </w:rPr>
      </w:pPr>
      <w:r w:rsidRPr="00E41771">
        <w:rPr>
          <w:sz w:val="22"/>
          <w:szCs w:val="22"/>
          <w:lang w:val="en-US"/>
        </w:rPr>
        <w:t xml:space="preserve"> A fishing e</w:t>
      </w:r>
      <w:r w:rsidR="00715CAF" w:rsidRPr="00E41771">
        <w:rPr>
          <w:sz w:val="22"/>
          <w:szCs w:val="22"/>
        </w:rPr>
        <w:t>ffort regime</w:t>
      </w:r>
      <w:r w:rsidR="004136F4" w:rsidRPr="00E41771">
        <w:rPr>
          <w:sz w:val="22"/>
          <w:szCs w:val="22"/>
        </w:rPr>
        <w:t xml:space="preserve"> </w:t>
      </w:r>
      <w:r w:rsidR="008C60E7" w:rsidRPr="00E41771">
        <w:rPr>
          <w:sz w:val="22"/>
          <w:szCs w:val="22"/>
        </w:rPr>
        <w:t>(</w:t>
      </w:r>
      <w:r w:rsidR="008C60E7" w:rsidRPr="00E41771">
        <w:rPr>
          <w:b/>
          <w:sz w:val="22"/>
          <w:szCs w:val="22"/>
        </w:rPr>
        <w:t>EFFORT</w:t>
      </w:r>
      <w:r w:rsidR="008C60E7" w:rsidRPr="00E41771">
        <w:rPr>
          <w:sz w:val="22"/>
          <w:szCs w:val="22"/>
        </w:rPr>
        <w:t xml:space="preserve">), </w:t>
      </w:r>
      <w:r w:rsidRPr="00E41771">
        <w:rPr>
          <w:sz w:val="22"/>
          <w:szCs w:val="22"/>
        </w:rPr>
        <w:t>operating on relevant fleet segments</w:t>
      </w:r>
      <w:r w:rsidR="008C60E7" w:rsidRPr="00E41771">
        <w:rPr>
          <w:sz w:val="22"/>
          <w:szCs w:val="22"/>
        </w:rPr>
        <w:t>,</w:t>
      </w:r>
      <w:r w:rsidRPr="00E41771">
        <w:rPr>
          <w:sz w:val="22"/>
          <w:szCs w:val="22"/>
        </w:rPr>
        <w:t xml:space="preserve"> to be applied to all key stocks</w:t>
      </w:r>
      <w:r w:rsidR="00715CAF" w:rsidRPr="00E41771">
        <w:rPr>
          <w:sz w:val="22"/>
          <w:szCs w:val="22"/>
        </w:rPr>
        <w:t>,</w:t>
      </w:r>
      <w:r w:rsidR="008C60E7" w:rsidRPr="00E41771">
        <w:rPr>
          <w:sz w:val="22"/>
          <w:szCs w:val="22"/>
        </w:rPr>
        <w:t xml:space="preserve"> and within this scenario</w:t>
      </w:r>
      <w:r w:rsidR="00715CAF" w:rsidRPr="00E41771">
        <w:rPr>
          <w:sz w:val="22"/>
          <w:szCs w:val="22"/>
        </w:rPr>
        <w:t xml:space="preserve"> evaluate the effects of </w:t>
      </w:r>
      <w:r w:rsidR="002923A1" w:rsidRPr="00E41771">
        <w:rPr>
          <w:sz w:val="22"/>
          <w:szCs w:val="22"/>
        </w:rPr>
        <w:t xml:space="preserve">presence/absence of </w:t>
      </w:r>
      <w:r w:rsidR="00715CAF" w:rsidRPr="00E41771">
        <w:rPr>
          <w:sz w:val="22"/>
          <w:szCs w:val="22"/>
        </w:rPr>
        <w:t>hyperstability</w:t>
      </w:r>
      <w:r w:rsidR="002923A1" w:rsidRPr="00E41771">
        <w:rPr>
          <w:sz w:val="22"/>
          <w:szCs w:val="22"/>
        </w:rPr>
        <w:t xml:space="preserve"> as defined and modelled in STECF 16-21</w:t>
      </w:r>
      <w:r w:rsidR="00E204B8" w:rsidRPr="00E41771">
        <w:rPr>
          <w:sz w:val="22"/>
          <w:szCs w:val="22"/>
        </w:rPr>
        <w:t xml:space="preserve"> (</w:t>
      </w:r>
      <w:r w:rsidR="00E204B8" w:rsidRPr="00E41771">
        <w:rPr>
          <w:b/>
          <w:sz w:val="22"/>
          <w:szCs w:val="22"/>
        </w:rPr>
        <w:t>HYPER</w:t>
      </w:r>
      <w:r w:rsidR="00E204B8" w:rsidRPr="00E41771">
        <w:rPr>
          <w:sz w:val="22"/>
          <w:szCs w:val="22"/>
        </w:rPr>
        <w:t>)</w:t>
      </w:r>
      <w:r w:rsidR="005716C6" w:rsidRPr="00E41771">
        <w:rPr>
          <w:sz w:val="22"/>
          <w:szCs w:val="22"/>
        </w:rPr>
        <w:t>.</w:t>
      </w:r>
    </w:p>
    <w:p w:rsidR="008C60E7" w:rsidRPr="00E41771" w:rsidRDefault="008C60E7" w:rsidP="008C60E7">
      <w:pPr>
        <w:widowControl w:val="0"/>
        <w:numPr>
          <w:ilvl w:val="8"/>
          <w:numId w:val="31"/>
        </w:numPr>
        <w:tabs>
          <w:tab w:val="left" w:pos="745"/>
        </w:tabs>
        <w:spacing w:after="116" w:line="250" w:lineRule="exact"/>
        <w:ind w:left="1134" w:hanging="283"/>
        <w:rPr>
          <w:sz w:val="22"/>
          <w:szCs w:val="22"/>
          <w:lang w:val="en-US" w:bidi="en-US"/>
        </w:rPr>
      </w:pPr>
      <w:r w:rsidRPr="00E41771">
        <w:rPr>
          <w:sz w:val="22"/>
          <w:szCs w:val="22"/>
          <w:lang w:val="en-US" w:bidi="en-US"/>
        </w:rPr>
        <w:t xml:space="preserve">A catch limit scenario </w:t>
      </w:r>
      <w:r w:rsidR="005716C6" w:rsidRPr="00E41771">
        <w:rPr>
          <w:sz w:val="22"/>
          <w:szCs w:val="22"/>
          <w:lang w:val="en-US" w:bidi="en-US"/>
        </w:rPr>
        <w:t xml:space="preserve">to be applied exclusively </w:t>
      </w:r>
      <w:r w:rsidRPr="00E41771">
        <w:rPr>
          <w:sz w:val="22"/>
          <w:szCs w:val="22"/>
          <w:lang w:val="en-US" w:bidi="en-US"/>
        </w:rPr>
        <w:t>for the stock of Common sole and Norway lobster (</w:t>
      </w:r>
      <w:r w:rsidRPr="00E41771">
        <w:rPr>
          <w:b/>
          <w:sz w:val="22"/>
          <w:szCs w:val="22"/>
          <w:lang w:val="en-US" w:bidi="en-US"/>
        </w:rPr>
        <w:t>CATCHLIM</w:t>
      </w:r>
      <w:r w:rsidRPr="00E41771">
        <w:rPr>
          <w:sz w:val="22"/>
          <w:szCs w:val="22"/>
          <w:lang w:val="en-US" w:bidi="en-US"/>
        </w:rPr>
        <w:t>)</w:t>
      </w:r>
      <w:r w:rsidR="005716C6" w:rsidRPr="00E41771">
        <w:rPr>
          <w:sz w:val="22"/>
          <w:szCs w:val="22"/>
          <w:lang w:val="en-US" w:bidi="en-US"/>
        </w:rPr>
        <w:t>.</w:t>
      </w:r>
    </w:p>
    <w:p w:rsidR="006526B3" w:rsidRDefault="006526B3" w:rsidP="006526B3">
      <w:pPr>
        <w:widowControl w:val="0"/>
        <w:tabs>
          <w:tab w:val="left" w:pos="745"/>
        </w:tabs>
        <w:spacing w:after="116" w:line="250" w:lineRule="exact"/>
        <w:rPr>
          <w:b/>
          <w:sz w:val="22"/>
          <w:szCs w:val="22"/>
        </w:rPr>
      </w:pPr>
    </w:p>
    <w:p w:rsidR="006526B3" w:rsidRDefault="006526B3" w:rsidP="006526B3">
      <w:pPr>
        <w:widowControl w:val="0"/>
        <w:tabs>
          <w:tab w:val="left" w:pos="745"/>
        </w:tabs>
        <w:spacing w:after="116" w:line="250" w:lineRule="exact"/>
        <w:rPr>
          <w:sz w:val="22"/>
          <w:szCs w:val="22"/>
        </w:rPr>
      </w:pPr>
      <w:r w:rsidRPr="00E41771">
        <w:rPr>
          <w:b/>
          <w:sz w:val="22"/>
          <w:szCs w:val="22"/>
        </w:rPr>
        <w:t xml:space="preserve">TOR </w:t>
      </w:r>
      <w:r>
        <w:rPr>
          <w:b/>
          <w:sz w:val="22"/>
          <w:szCs w:val="22"/>
        </w:rPr>
        <w:t>4</w:t>
      </w:r>
      <w:r w:rsidRPr="00E41771">
        <w:rPr>
          <w:b/>
          <w:sz w:val="22"/>
          <w:szCs w:val="22"/>
        </w:rPr>
        <w:t>.</w:t>
      </w:r>
      <w:r w:rsidRPr="00E41771">
        <w:rPr>
          <w:sz w:val="22"/>
          <w:szCs w:val="22"/>
        </w:rPr>
        <w:t xml:space="preserve"> </w:t>
      </w:r>
      <w:r w:rsidRPr="00D74634">
        <w:rPr>
          <w:b/>
          <w:sz w:val="22"/>
          <w:szCs w:val="22"/>
          <w:lang w:val="en-US" w:eastAsia="en-US"/>
        </w:rPr>
        <w:t>Management Procedure</w:t>
      </w:r>
      <w:r>
        <w:rPr>
          <w:b/>
          <w:sz w:val="22"/>
          <w:szCs w:val="22"/>
          <w:lang w:val="en-US" w:eastAsia="en-US"/>
        </w:rPr>
        <w:t xml:space="preserve"> B</w:t>
      </w:r>
    </w:p>
    <w:p w:rsidR="006526B3" w:rsidRPr="006526B3" w:rsidRDefault="006526B3" w:rsidP="006526B3">
      <w:pPr>
        <w:widowControl w:val="0"/>
        <w:tabs>
          <w:tab w:val="left" w:pos="745"/>
        </w:tabs>
        <w:spacing w:after="116" w:line="250" w:lineRule="exact"/>
        <w:rPr>
          <w:sz w:val="22"/>
          <w:szCs w:val="22"/>
          <w:lang w:val="en-US" w:bidi="en-US"/>
        </w:rPr>
      </w:pPr>
    </w:p>
    <w:p w:rsidR="005716C6" w:rsidRPr="00E41771" w:rsidRDefault="005716C6" w:rsidP="00E41771">
      <w:pPr>
        <w:widowControl w:val="0"/>
        <w:tabs>
          <w:tab w:val="left" w:pos="745"/>
        </w:tabs>
        <w:spacing w:after="120" w:line="254" w:lineRule="exact"/>
        <w:rPr>
          <w:sz w:val="22"/>
          <w:szCs w:val="22"/>
          <w:lang w:val="en-US" w:bidi="en-US"/>
        </w:rPr>
      </w:pPr>
      <w:r w:rsidRPr="00E41771">
        <w:rPr>
          <w:sz w:val="22"/>
          <w:szCs w:val="22"/>
        </w:rPr>
        <w:lastRenderedPageBreak/>
        <w:t>Assuming that the effects of the Pomo/Jabuka Pit FRA are already accounted for in the most recent stock assessments and that this FRA will remain in place for the duration of the management plan, e</w:t>
      </w:r>
      <w:r w:rsidR="00945175" w:rsidRPr="00E41771">
        <w:rPr>
          <w:sz w:val="22"/>
          <w:szCs w:val="22"/>
        </w:rPr>
        <w:t xml:space="preserve">valuate the effect of </w:t>
      </w:r>
      <w:r w:rsidR="004136F4" w:rsidRPr="00E41771">
        <w:rPr>
          <w:sz w:val="22"/>
          <w:szCs w:val="22"/>
        </w:rPr>
        <w:t xml:space="preserve">theoretical additional </w:t>
      </w:r>
      <w:r w:rsidR="00945175" w:rsidRPr="00E41771">
        <w:rPr>
          <w:sz w:val="22"/>
          <w:szCs w:val="22"/>
        </w:rPr>
        <w:t xml:space="preserve">protection of </w:t>
      </w:r>
      <w:r w:rsidR="004136F4" w:rsidRPr="00E41771">
        <w:rPr>
          <w:sz w:val="22"/>
          <w:szCs w:val="22"/>
          <w:lang w:val="en-US" w:bidi="en-US"/>
        </w:rPr>
        <w:t>nursery and spawning areas</w:t>
      </w:r>
      <w:r w:rsidR="00945175" w:rsidRPr="00E41771">
        <w:rPr>
          <w:sz w:val="22"/>
          <w:szCs w:val="22"/>
          <w:lang w:val="en-US" w:bidi="en-US"/>
        </w:rPr>
        <w:t xml:space="preserve"> </w:t>
      </w:r>
      <w:r w:rsidRPr="00E41771">
        <w:rPr>
          <w:sz w:val="22"/>
          <w:szCs w:val="22"/>
          <w:lang w:val="en-US" w:bidi="en-US"/>
        </w:rPr>
        <w:t>as follows:</w:t>
      </w:r>
    </w:p>
    <w:p w:rsidR="00234750" w:rsidRPr="00E41771" w:rsidRDefault="000A380B" w:rsidP="00E41771">
      <w:pPr>
        <w:widowControl w:val="0"/>
        <w:numPr>
          <w:ilvl w:val="3"/>
          <w:numId w:val="39"/>
        </w:numPr>
        <w:tabs>
          <w:tab w:val="left" w:pos="745"/>
        </w:tabs>
        <w:spacing w:after="120" w:line="254" w:lineRule="exact"/>
        <w:ind w:left="927" w:hanging="360"/>
        <w:rPr>
          <w:sz w:val="22"/>
          <w:szCs w:val="22"/>
          <w:lang w:val="en-US" w:bidi="en-US"/>
        </w:rPr>
      </w:pPr>
      <w:r>
        <w:rPr>
          <w:sz w:val="22"/>
          <w:szCs w:val="22"/>
          <w:lang w:val="en-US" w:bidi="en-US"/>
        </w:rPr>
        <w:t>F</w:t>
      </w:r>
      <w:r w:rsidR="00234750" w:rsidRPr="00E41771">
        <w:rPr>
          <w:sz w:val="22"/>
          <w:szCs w:val="22"/>
          <w:lang w:val="en-US" w:bidi="en-US"/>
        </w:rPr>
        <w:t xml:space="preserve">or the stock of </w:t>
      </w:r>
      <w:r w:rsidR="00945175" w:rsidRPr="00E41771">
        <w:rPr>
          <w:sz w:val="22"/>
          <w:szCs w:val="22"/>
          <w:lang w:val="en-US" w:bidi="en-US"/>
        </w:rPr>
        <w:t xml:space="preserve">common sole </w:t>
      </w:r>
      <w:r w:rsidR="00234750" w:rsidRPr="00E41771">
        <w:rPr>
          <w:sz w:val="22"/>
          <w:szCs w:val="22"/>
          <w:lang w:val="en-US" w:bidi="en-US"/>
        </w:rPr>
        <w:t xml:space="preserve">simulate the effect of the implementation of a FRA </w:t>
      </w:r>
      <w:r>
        <w:rPr>
          <w:sz w:val="22"/>
          <w:szCs w:val="22"/>
          <w:lang w:val="en-US" w:bidi="en-US"/>
        </w:rPr>
        <w:t xml:space="preserve">divided in two areas: (a) one on the polygon identified as area of high persistence in front of the Venice lagoon in Figure 4 B </w:t>
      </w:r>
      <w:r w:rsidR="00234750" w:rsidRPr="00E41771">
        <w:rPr>
          <w:sz w:val="22"/>
          <w:szCs w:val="22"/>
          <w:lang w:val="en-US" w:bidi="en-US"/>
        </w:rPr>
        <w:t>in Scarcella et al. 2014</w:t>
      </w:r>
      <w:r w:rsidR="00234750" w:rsidRPr="00E41771">
        <w:rPr>
          <w:rStyle w:val="FootnoteReference"/>
          <w:sz w:val="22"/>
          <w:szCs w:val="22"/>
          <w:lang w:val="en-US" w:bidi="en-US"/>
        </w:rPr>
        <w:footnoteReference w:id="2"/>
      </w:r>
      <w:r w:rsidR="00E41771" w:rsidRPr="00E41771">
        <w:rPr>
          <w:sz w:val="22"/>
          <w:szCs w:val="22"/>
          <w:lang w:val="en-US" w:bidi="en-US"/>
        </w:rPr>
        <w:t xml:space="preserve"> </w:t>
      </w:r>
      <w:r>
        <w:rPr>
          <w:sz w:val="22"/>
          <w:szCs w:val="22"/>
          <w:lang w:val="en-US" w:bidi="en-US"/>
        </w:rPr>
        <w:t xml:space="preserve">and (b) according the polygon </w:t>
      </w:r>
      <w:r w:rsidR="00C806F9">
        <w:rPr>
          <w:sz w:val="22"/>
          <w:szCs w:val="22"/>
          <w:lang w:val="en-US" w:bidi="en-US"/>
        </w:rPr>
        <w:t xml:space="preserve">of Fig 1 </w:t>
      </w:r>
      <w:r>
        <w:rPr>
          <w:sz w:val="22"/>
          <w:szCs w:val="22"/>
          <w:lang w:val="en-US" w:bidi="en-US"/>
        </w:rPr>
        <w:t>proposed for the sole sanctuary in Bastardie et. al 201</w:t>
      </w:r>
      <w:r w:rsidR="00FE00D9">
        <w:rPr>
          <w:sz w:val="22"/>
          <w:szCs w:val="22"/>
          <w:lang w:val="en-US" w:bidi="en-US"/>
        </w:rPr>
        <w:t>7</w:t>
      </w:r>
      <w:r w:rsidR="00FE00D9">
        <w:rPr>
          <w:rStyle w:val="FootnoteReference"/>
          <w:sz w:val="22"/>
          <w:szCs w:val="22"/>
          <w:lang w:val="en-US" w:bidi="en-US"/>
        </w:rPr>
        <w:footnoteReference w:id="3"/>
      </w:r>
      <w:r>
        <w:rPr>
          <w:sz w:val="22"/>
          <w:szCs w:val="22"/>
          <w:lang w:val="en-US" w:bidi="en-US"/>
        </w:rPr>
        <w:t xml:space="preserve"> </w:t>
      </w:r>
      <w:r w:rsidR="00E41771" w:rsidRPr="00E41771">
        <w:rPr>
          <w:sz w:val="22"/>
          <w:szCs w:val="22"/>
          <w:lang w:val="en-US" w:bidi="en-US"/>
        </w:rPr>
        <w:t>(</w:t>
      </w:r>
      <w:r w:rsidR="00E41771" w:rsidRPr="00E41771">
        <w:rPr>
          <w:b/>
          <w:sz w:val="22"/>
          <w:szCs w:val="22"/>
          <w:lang w:val="en-US" w:bidi="en-US"/>
        </w:rPr>
        <w:t>FRA</w:t>
      </w:r>
      <w:r w:rsidR="00E41771" w:rsidRPr="00E41771">
        <w:rPr>
          <w:sz w:val="22"/>
          <w:szCs w:val="22"/>
          <w:lang w:val="en-US" w:bidi="en-US"/>
        </w:rPr>
        <w:t>).</w:t>
      </w:r>
      <w:r w:rsidR="00C806F9">
        <w:rPr>
          <w:sz w:val="22"/>
          <w:szCs w:val="22"/>
          <w:lang w:val="en-US" w:bidi="en-US"/>
        </w:rPr>
        <w:t xml:space="preserve"> </w:t>
      </w:r>
    </w:p>
    <w:p w:rsidR="00E204B8" w:rsidRPr="00E41771" w:rsidRDefault="00234750" w:rsidP="00E41771">
      <w:pPr>
        <w:widowControl w:val="0"/>
        <w:numPr>
          <w:ilvl w:val="3"/>
          <w:numId w:val="39"/>
        </w:numPr>
        <w:tabs>
          <w:tab w:val="left" w:pos="745"/>
        </w:tabs>
        <w:spacing w:after="120" w:line="254" w:lineRule="exact"/>
        <w:ind w:left="927" w:hanging="360"/>
        <w:rPr>
          <w:sz w:val="22"/>
          <w:szCs w:val="22"/>
          <w:lang w:val="en-US" w:bidi="en-US"/>
        </w:rPr>
      </w:pPr>
      <w:r w:rsidRPr="00E41771">
        <w:rPr>
          <w:sz w:val="22"/>
          <w:szCs w:val="22"/>
          <w:lang w:val="en-US" w:bidi="en-US"/>
        </w:rPr>
        <w:t>For</w:t>
      </w:r>
      <w:r w:rsidR="00945175" w:rsidRPr="00E41771">
        <w:rPr>
          <w:sz w:val="22"/>
          <w:szCs w:val="22"/>
          <w:lang w:val="en-US" w:bidi="en-US"/>
        </w:rPr>
        <w:t xml:space="preserve"> Norway lobster </w:t>
      </w:r>
      <w:r w:rsidR="00E41771" w:rsidRPr="00E41771">
        <w:rPr>
          <w:sz w:val="22"/>
          <w:szCs w:val="22"/>
          <w:lang w:val="en-US" w:bidi="en-US"/>
        </w:rPr>
        <w:t xml:space="preserve">simulate the effect of the establishment of a FRA protecting </w:t>
      </w:r>
      <w:r w:rsidR="00D76C19">
        <w:rPr>
          <w:sz w:val="22"/>
          <w:szCs w:val="22"/>
          <w:lang w:val="en-US" w:bidi="en-US"/>
        </w:rPr>
        <w:t>20</w:t>
      </w:r>
      <w:r w:rsidR="00E41771" w:rsidRPr="00E41771">
        <w:rPr>
          <w:sz w:val="22"/>
          <w:szCs w:val="22"/>
          <w:lang w:val="en-US" w:bidi="en-US"/>
        </w:rPr>
        <w:t xml:space="preserve">% of the area of high persistence of spawners </w:t>
      </w:r>
      <w:r w:rsidR="00E204B8" w:rsidRPr="00E41771">
        <w:rPr>
          <w:sz w:val="22"/>
          <w:szCs w:val="22"/>
          <w:lang w:val="en-US" w:bidi="en-US"/>
        </w:rPr>
        <w:t>(</w:t>
      </w:r>
      <w:r w:rsidR="00E204B8" w:rsidRPr="00E41771">
        <w:rPr>
          <w:b/>
          <w:sz w:val="22"/>
          <w:szCs w:val="22"/>
          <w:lang w:val="en-US" w:bidi="en-US"/>
        </w:rPr>
        <w:t>FRA</w:t>
      </w:r>
      <w:r w:rsidR="00E204B8" w:rsidRPr="00E41771">
        <w:rPr>
          <w:sz w:val="22"/>
          <w:szCs w:val="22"/>
          <w:lang w:val="en-US" w:bidi="en-US"/>
        </w:rPr>
        <w:t>)</w:t>
      </w:r>
      <w:r w:rsidR="00E41771" w:rsidRPr="00E41771">
        <w:rPr>
          <w:sz w:val="22"/>
          <w:szCs w:val="22"/>
          <w:lang w:val="en-US" w:bidi="en-US"/>
        </w:rPr>
        <w:t>.</w:t>
      </w:r>
    </w:p>
    <w:p w:rsidR="00E41771" w:rsidRPr="00E41771" w:rsidRDefault="00E41771" w:rsidP="00E41771">
      <w:pPr>
        <w:widowControl w:val="0"/>
        <w:numPr>
          <w:ilvl w:val="3"/>
          <w:numId w:val="39"/>
        </w:numPr>
        <w:tabs>
          <w:tab w:val="left" w:pos="745"/>
        </w:tabs>
        <w:spacing w:after="120" w:line="254" w:lineRule="exact"/>
        <w:ind w:left="927" w:hanging="360"/>
        <w:rPr>
          <w:sz w:val="22"/>
          <w:szCs w:val="22"/>
          <w:lang w:val="en-US" w:bidi="en-US"/>
        </w:rPr>
      </w:pPr>
      <w:r w:rsidRPr="00E41771">
        <w:rPr>
          <w:sz w:val="22"/>
          <w:szCs w:val="22"/>
          <w:lang w:val="en-US" w:bidi="en-US"/>
        </w:rPr>
        <w:t>For European hake, simulate the effect of the establishm</w:t>
      </w:r>
      <w:bookmarkStart w:id="0" w:name="_GoBack"/>
      <w:bookmarkEnd w:id="0"/>
      <w:r w:rsidRPr="00E41771">
        <w:rPr>
          <w:sz w:val="22"/>
          <w:szCs w:val="22"/>
          <w:lang w:val="en-US" w:bidi="en-US"/>
        </w:rPr>
        <w:t xml:space="preserve">ent of a FRA protecting </w:t>
      </w:r>
      <w:r w:rsidR="00D76C19">
        <w:rPr>
          <w:sz w:val="22"/>
          <w:szCs w:val="22"/>
          <w:lang w:val="en-US" w:bidi="en-US"/>
        </w:rPr>
        <w:t>20</w:t>
      </w:r>
      <w:r w:rsidRPr="00E41771">
        <w:rPr>
          <w:sz w:val="22"/>
          <w:szCs w:val="22"/>
          <w:lang w:val="en-US" w:bidi="en-US"/>
        </w:rPr>
        <w:t>% of the area of high persistence of spawners (</w:t>
      </w:r>
      <w:r w:rsidRPr="00E41771">
        <w:rPr>
          <w:b/>
          <w:sz w:val="22"/>
          <w:szCs w:val="22"/>
          <w:lang w:val="en-US" w:bidi="en-US"/>
        </w:rPr>
        <w:t>FRA</w:t>
      </w:r>
      <w:r w:rsidRPr="00E41771">
        <w:rPr>
          <w:sz w:val="22"/>
          <w:szCs w:val="22"/>
          <w:lang w:val="en-US" w:bidi="en-US"/>
        </w:rPr>
        <w:t>).</w:t>
      </w:r>
    </w:p>
    <w:p w:rsidR="00945175" w:rsidRPr="00E41771" w:rsidRDefault="002923A1" w:rsidP="00E41771">
      <w:pPr>
        <w:widowControl w:val="0"/>
        <w:numPr>
          <w:ilvl w:val="3"/>
          <w:numId w:val="39"/>
        </w:numPr>
        <w:tabs>
          <w:tab w:val="left" w:pos="745"/>
        </w:tabs>
        <w:spacing w:after="120" w:line="254" w:lineRule="exact"/>
        <w:ind w:left="927" w:hanging="360"/>
        <w:rPr>
          <w:sz w:val="22"/>
          <w:szCs w:val="22"/>
          <w:lang w:val="en-US" w:bidi="en-US"/>
        </w:rPr>
      </w:pPr>
      <w:r w:rsidRPr="00E41771">
        <w:rPr>
          <w:sz w:val="22"/>
          <w:szCs w:val="22"/>
        </w:rPr>
        <w:t>Evaluate the effect of the closure of the coastal zone up to 6 nautical miles to all active towed gear (OTB and TBB)</w:t>
      </w:r>
      <w:r w:rsidR="00E204B8" w:rsidRPr="00E41771">
        <w:rPr>
          <w:sz w:val="22"/>
          <w:szCs w:val="22"/>
        </w:rPr>
        <w:t xml:space="preserve"> (</w:t>
      </w:r>
      <w:r w:rsidR="00E204B8" w:rsidRPr="00E41771">
        <w:rPr>
          <w:b/>
          <w:sz w:val="22"/>
          <w:szCs w:val="22"/>
        </w:rPr>
        <w:t>6NM</w:t>
      </w:r>
      <w:r w:rsidR="00E204B8" w:rsidRPr="00E41771">
        <w:rPr>
          <w:sz w:val="22"/>
          <w:szCs w:val="22"/>
        </w:rPr>
        <w:t>)</w:t>
      </w:r>
    </w:p>
    <w:p w:rsidR="00715CAF" w:rsidRPr="00E41771" w:rsidRDefault="00CE66A2" w:rsidP="003B1732">
      <w:pPr>
        <w:spacing w:after="240" w:line="290" w:lineRule="auto"/>
        <w:ind w:left="1134" w:hanging="1134"/>
        <w:rPr>
          <w:b/>
          <w:sz w:val="22"/>
          <w:szCs w:val="22"/>
          <w:lang w:eastAsia="en-GB"/>
        </w:rPr>
      </w:pPr>
      <w:r>
        <w:rPr>
          <w:b/>
          <w:sz w:val="22"/>
          <w:szCs w:val="22"/>
          <w:lang w:eastAsia="en-GB"/>
        </w:rPr>
        <w:t xml:space="preserve">A synoptic table of all scenario runs is in Annex II. </w:t>
      </w:r>
    </w:p>
    <w:p w:rsidR="00234750" w:rsidRPr="00E41771" w:rsidRDefault="008317B8" w:rsidP="003B1732">
      <w:pPr>
        <w:spacing w:after="240" w:line="290" w:lineRule="auto"/>
        <w:ind w:left="1134" w:hanging="1134"/>
        <w:rPr>
          <w:b/>
          <w:sz w:val="22"/>
          <w:szCs w:val="22"/>
          <w:lang w:eastAsia="en-GB"/>
        </w:rPr>
      </w:pPr>
      <w:r w:rsidRPr="00E41771">
        <w:rPr>
          <w:b/>
          <w:sz w:val="22"/>
          <w:szCs w:val="22"/>
          <w:lang w:eastAsia="en-GB"/>
        </w:rPr>
        <w:t xml:space="preserve">ToR </w:t>
      </w:r>
      <w:r w:rsidR="006526B3">
        <w:rPr>
          <w:b/>
          <w:sz w:val="22"/>
          <w:szCs w:val="22"/>
          <w:lang w:eastAsia="en-GB"/>
        </w:rPr>
        <w:t>5</w:t>
      </w:r>
      <w:r w:rsidRPr="00E41771">
        <w:rPr>
          <w:b/>
          <w:sz w:val="22"/>
          <w:szCs w:val="22"/>
          <w:lang w:eastAsia="en-GB"/>
        </w:rPr>
        <w:t xml:space="preserve">. </w:t>
      </w:r>
      <w:r w:rsidRPr="00E41771">
        <w:rPr>
          <w:b/>
          <w:sz w:val="22"/>
          <w:szCs w:val="22"/>
          <w:lang w:eastAsia="en-GB"/>
        </w:rPr>
        <w:tab/>
      </w:r>
      <w:r w:rsidR="00234750" w:rsidRPr="00E41771">
        <w:rPr>
          <w:b/>
          <w:sz w:val="22"/>
          <w:szCs w:val="22"/>
          <w:lang w:eastAsia="en-GB"/>
        </w:rPr>
        <w:t>Areas of high spatial persistence of key stocks</w:t>
      </w:r>
    </w:p>
    <w:p w:rsidR="00207E54" w:rsidRPr="00E41771" w:rsidRDefault="00207E54" w:rsidP="00234750">
      <w:pPr>
        <w:spacing w:after="240" w:line="290" w:lineRule="auto"/>
        <w:ind w:left="426" w:hanging="284"/>
        <w:rPr>
          <w:sz w:val="22"/>
          <w:szCs w:val="22"/>
          <w:lang w:eastAsia="en-GB"/>
        </w:rPr>
      </w:pPr>
      <w:r w:rsidRPr="00E41771">
        <w:rPr>
          <w:sz w:val="22"/>
          <w:szCs w:val="22"/>
          <w:lang w:eastAsia="en-GB"/>
        </w:rPr>
        <w:t xml:space="preserve">Since protection of juvenile and adult spawners life stages can contribute to reduce fishing mortality and improve stock status, identification of the areas of high persistence can support management decision to manage some of these areas with fishing gear restricitons and in the context of marine spatial planning. </w:t>
      </w:r>
    </w:p>
    <w:p w:rsidR="003B1732" w:rsidRPr="00E41771" w:rsidRDefault="003B1732" w:rsidP="003B1732">
      <w:pPr>
        <w:spacing w:after="240" w:line="290" w:lineRule="auto"/>
        <w:ind w:left="1134" w:hanging="1134"/>
        <w:rPr>
          <w:sz w:val="22"/>
          <w:szCs w:val="22"/>
          <w:lang w:eastAsia="en-GB"/>
        </w:rPr>
      </w:pPr>
      <w:r w:rsidRPr="00E41771">
        <w:rPr>
          <w:sz w:val="22"/>
          <w:szCs w:val="22"/>
          <w:lang w:eastAsia="en-GB"/>
        </w:rPr>
        <w:t xml:space="preserve">For stocks in Table 1, using the </w:t>
      </w:r>
      <w:r w:rsidRPr="00E41771">
        <w:rPr>
          <w:bCs/>
          <w:sz w:val="22"/>
          <w:szCs w:val="22"/>
        </w:rPr>
        <w:t xml:space="preserve">high density persistence analysis </w:t>
      </w:r>
      <w:r w:rsidRPr="00E41771">
        <w:rPr>
          <w:sz w:val="22"/>
          <w:szCs w:val="22"/>
          <w:lang w:eastAsia="en-GB"/>
        </w:rPr>
        <w:t>and R scripts developed in STECF EWG 17-15, provide detailed maps for GSA 17-18 of:</w:t>
      </w:r>
    </w:p>
    <w:p w:rsidR="003B1732" w:rsidRPr="00E41771" w:rsidRDefault="003B1732" w:rsidP="00234750">
      <w:pPr>
        <w:numPr>
          <w:ilvl w:val="0"/>
          <w:numId w:val="37"/>
        </w:numPr>
        <w:spacing w:after="240" w:line="290" w:lineRule="auto"/>
        <w:rPr>
          <w:sz w:val="22"/>
          <w:szCs w:val="22"/>
          <w:lang w:eastAsia="en-GB"/>
        </w:rPr>
      </w:pPr>
      <w:r w:rsidRPr="00E41771">
        <w:rPr>
          <w:sz w:val="22"/>
          <w:szCs w:val="22"/>
          <w:lang w:eastAsia="en-GB"/>
        </w:rPr>
        <w:t>The high persist</w:t>
      </w:r>
      <w:r w:rsidR="00AC3B44" w:rsidRPr="00E41771">
        <w:rPr>
          <w:sz w:val="22"/>
          <w:szCs w:val="22"/>
          <w:lang w:eastAsia="en-GB"/>
        </w:rPr>
        <w:t>e</w:t>
      </w:r>
      <w:r w:rsidRPr="00E41771">
        <w:rPr>
          <w:sz w:val="22"/>
          <w:szCs w:val="22"/>
          <w:lang w:eastAsia="en-GB"/>
        </w:rPr>
        <w:t xml:space="preserve">nce areas of </w:t>
      </w:r>
      <w:r w:rsidR="00234750" w:rsidRPr="00E41771">
        <w:rPr>
          <w:sz w:val="22"/>
          <w:szCs w:val="22"/>
          <w:lang w:eastAsia="en-GB"/>
        </w:rPr>
        <w:t>1</w:t>
      </w:r>
      <w:r w:rsidR="00234750" w:rsidRPr="00E41771">
        <w:rPr>
          <w:sz w:val="22"/>
          <w:szCs w:val="22"/>
          <w:vertAlign w:val="superscript"/>
          <w:lang w:eastAsia="en-GB"/>
        </w:rPr>
        <w:t>st</w:t>
      </w:r>
      <w:r w:rsidR="00234750" w:rsidRPr="00E41771">
        <w:rPr>
          <w:sz w:val="22"/>
          <w:szCs w:val="22"/>
          <w:lang w:eastAsia="en-GB"/>
        </w:rPr>
        <w:t xml:space="preserve"> year </w:t>
      </w:r>
      <w:r w:rsidRPr="00E41771">
        <w:rPr>
          <w:sz w:val="22"/>
          <w:szCs w:val="22"/>
          <w:lang w:eastAsia="en-GB"/>
        </w:rPr>
        <w:t>juveniles</w:t>
      </w:r>
      <w:r w:rsidR="00AC3B44" w:rsidRPr="00E41771">
        <w:rPr>
          <w:sz w:val="22"/>
          <w:szCs w:val="22"/>
          <w:lang w:eastAsia="en-GB"/>
        </w:rPr>
        <w:t xml:space="preserve">: </w:t>
      </w:r>
    </w:p>
    <w:p w:rsidR="003B1732" w:rsidRPr="00E41771" w:rsidRDefault="003B1732" w:rsidP="00234750">
      <w:pPr>
        <w:numPr>
          <w:ilvl w:val="0"/>
          <w:numId w:val="37"/>
        </w:numPr>
        <w:spacing w:after="240" w:line="290" w:lineRule="auto"/>
        <w:rPr>
          <w:sz w:val="22"/>
          <w:szCs w:val="22"/>
          <w:lang w:eastAsia="en-GB"/>
        </w:rPr>
      </w:pPr>
      <w:r w:rsidRPr="00E41771">
        <w:rPr>
          <w:sz w:val="22"/>
          <w:szCs w:val="22"/>
          <w:lang w:eastAsia="en-GB"/>
        </w:rPr>
        <w:t>The recurrent spawning aggregations areas.</w:t>
      </w:r>
    </w:p>
    <w:p w:rsidR="003B1732" w:rsidRPr="00E41771" w:rsidRDefault="003B1732" w:rsidP="00234750">
      <w:pPr>
        <w:numPr>
          <w:ilvl w:val="0"/>
          <w:numId w:val="37"/>
        </w:numPr>
        <w:spacing w:after="240" w:line="290" w:lineRule="auto"/>
        <w:rPr>
          <w:sz w:val="22"/>
          <w:szCs w:val="22"/>
          <w:lang w:eastAsia="en-GB"/>
        </w:rPr>
      </w:pPr>
      <w:r w:rsidRPr="00E41771">
        <w:rPr>
          <w:sz w:val="22"/>
          <w:szCs w:val="22"/>
        </w:rPr>
        <w:t>Analyse the percentage of overlapping of juveniles and adults persistent areas</w:t>
      </w:r>
      <w:r w:rsidR="00AC3B44" w:rsidRPr="00E41771">
        <w:rPr>
          <w:sz w:val="22"/>
          <w:szCs w:val="22"/>
        </w:rPr>
        <w:t>,</w:t>
      </w:r>
      <w:r w:rsidRPr="00E41771">
        <w:rPr>
          <w:sz w:val="22"/>
          <w:szCs w:val="22"/>
        </w:rPr>
        <w:t xml:space="preserve"> </w:t>
      </w:r>
      <w:r w:rsidR="00AC3B44" w:rsidRPr="00E41771">
        <w:rPr>
          <w:sz w:val="22"/>
          <w:szCs w:val="22"/>
        </w:rPr>
        <w:t>by individual stocks and across all stocks in Table I, t</w:t>
      </w:r>
      <w:r w:rsidRPr="00E41771">
        <w:rPr>
          <w:sz w:val="22"/>
          <w:szCs w:val="22"/>
        </w:rPr>
        <w:t>o explore the viability of the fisheries if managed trying to avoid either juveniles or spawners</w:t>
      </w:r>
      <w:r w:rsidR="00AC3B44" w:rsidRPr="00E41771">
        <w:rPr>
          <w:sz w:val="22"/>
          <w:szCs w:val="22"/>
        </w:rPr>
        <w:t>.</w:t>
      </w:r>
    </w:p>
    <w:p w:rsidR="007340A5" w:rsidRPr="00E41771" w:rsidRDefault="00AC3B44">
      <w:pPr>
        <w:spacing w:after="240" w:line="290" w:lineRule="auto"/>
        <w:ind w:left="1134" w:hanging="1134"/>
        <w:rPr>
          <w:color w:val="000000"/>
          <w:sz w:val="22"/>
          <w:szCs w:val="22"/>
        </w:rPr>
      </w:pPr>
      <w:r w:rsidRPr="00E41771">
        <w:rPr>
          <w:color w:val="000000"/>
          <w:sz w:val="22"/>
          <w:szCs w:val="22"/>
        </w:rPr>
        <w:t xml:space="preserve">MEDITS data covering the longest time series as possible should be used and where appropriate (for </w:t>
      </w:r>
      <w:r w:rsidRPr="00E41771">
        <w:rPr>
          <w:i/>
          <w:color w:val="000000"/>
          <w:sz w:val="22"/>
          <w:szCs w:val="22"/>
        </w:rPr>
        <w:t>Solea solea</w:t>
      </w:r>
      <w:r w:rsidRPr="00E41771">
        <w:rPr>
          <w:color w:val="000000"/>
          <w:sz w:val="22"/>
          <w:szCs w:val="22"/>
        </w:rPr>
        <w:t xml:space="preserve"> and possibly other stocks) SOLEMON data. </w:t>
      </w:r>
    </w:p>
    <w:p w:rsidR="000109E2" w:rsidRPr="00E41771" w:rsidRDefault="00B32B14" w:rsidP="009B3B40">
      <w:pPr>
        <w:spacing w:line="290" w:lineRule="auto"/>
        <w:jc w:val="right"/>
        <w:rPr>
          <w:b/>
          <w:sz w:val="22"/>
          <w:szCs w:val="22"/>
          <w:lang w:eastAsia="en-GB"/>
        </w:rPr>
      </w:pPr>
      <w:r w:rsidRPr="00E41771">
        <w:rPr>
          <w:b/>
          <w:sz w:val="22"/>
          <w:szCs w:val="22"/>
          <w:lang w:eastAsia="en-GB"/>
        </w:rPr>
        <w:br w:type="page"/>
      </w:r>
      <w:r w:rsidR="000109E2" w:rsidRPr="00E41771">
        <w:rPr>
          <w:b/>
          <w:sz w:val="22"/>
          <w:szCs w:val="22"/>
          <w:lang w:eastAsia="en-GB"/>
        </w:rPr>
        <w:lastRenderedPageBreak/>
        <w:t>ANNEX</w:t>
      </w:r>
      <w:r w:rsidR="00B17E7F" w:rsidRPr="00E41771">
        <w:rPr>
          <w:b/>
          <w:sz w:val="22"/>
          <w:szCs w:val="22"/>
          <w:lang w:eastAsia="en-GB"/>
        </w:rPr>
        <w:t xml:space="preserve"> I</w:t>
      </w:r>
    </w:p>
    <w:p w:rsidR="004C0D2E" w:rsidRPr="00E41771" w:rsidRDefault="004C0D2E" w:rsidP="004C0D2E">
      <w:pPr>
        <w:rPr>
          <w:sz w:val="22"/>
          <w:szCs w:val="22"/>
          <w:lang w:eastAsia="en-GB"/>
        </w:rPr>
      </w:pPr>
    </w:p>
    <w:p w:rsidR="004C0D2E" w:rsidRPr="00E41771" w:rsidRDefault="004C0D2E" w:rsidP="004C0D2E">
      <w:pPr>
        <w:rPr>
          <w:sz w:val="22"/>
          <w:szCs w:val="22"/>
          <w:lang w:eastAsia="en-GB"/>
        </w:rPr>
      </w:pPr>
    </w:p>
    <w:p w:rsidR="002350E6" w:rsidRPr="00E41771" w:rsidRDefault="00326045" w:rsidP="00153CA2">
      <w:pPr>
        <w:tabs>
          <w:tab w:val="left" w:pos="851"/>
        </w:tabs>
        <w:spacing w:after="240"/>
        <w:jc w:val="center"/>
        <w:rPr>
          <w:sz w:val="22"/>
          <w:szCs w:val="22"/>
          <w:lang w:eastAsia="en-GB"/>
        </w:rPr>
      </w:pPr>
      <w:r w:rsidRPr="00E41771">
        <w:rPr>
          <w:b/>
          <w:sz w:val="22"/>
          <w:szCs w:val="22"/>
          <w:lang w:eastAsia="en-GB"/>
        </w:rPr>
        <w:t>Table I</w:t>
      </w:r>
      <w:r w:rsidRPr="00E41771">
        <w:rPr>
          <w:sz w:val="22"/>
          <w:szCs w:val="22"/>
          <w:lang w:eastAsia="en-GB"/>
        </w:rPr>
        <w:t xml:space="preserve"> – List of stocks</w:t>
      </w:r>
      <w:r w:rsidR="000109E2" w:rsidRPr="00E41771">
        <w:rPr>
          <w:sz w:val="22"/>
          <w:szCs w:val="22"/>
          <w:lang w:eastAsia="en-GB"/>
        </w:rPr>
        <w:t xml:space="preserve"> to be </w:t>
      </w:r>
      <w:r w:rsidR="00AC3B44" w:rsidRPr="00E41771">
        <w:rPr>
          <w:sz w:val="22"/>
          <w:szCs w:val="22"/>
          <w:lang w:eastAsia="en-GB"/>
        </w:rPr>
        <w:t>evaluated</w:t>
      </w:r>
      <w:r w:rsidR="00B17E7F" w:rsidRPr="00E41771">
        <w:rPr>
          <w:sz w:val="22"/>
          <w:szCs w:val="22"/>
          <w:lang w:eastAsia="en-GB"/>
        </w:rPr>
        <w:t xml:space="preserve"> by the EWG </w:t>
      </w:r>
      <w:r w:rsidR="00CA3E24" w:rsidRPr="00E41771">
        <w:rPr>
          <w:sz w:val="22"/>
          <w:szCs w:val="22"/>
          <w:lang w:eastAsia="en-GB"/>
        </w:rPr>
        <w:t>1</w:t>
      </w:r>
      <w:r w:rsidR="00AC3B44" w:rsidRPr="00E41771">
        <w:rPr>
          <w:sz w:val="22"/>
          <w:szCs w:val="22"/>
          <w:lang w:eastAsia="en-GB"/>
        </w:rPr>
        <w:t>9-02</w:t>
      </w:r>
      <w:r w:rsidR="002350E6" w:rsidRPr="00E41771">
        <w:rPr>
          <w:sz w:val="22"/>
          <w:szCs w:val="22"/>
          <w:lang w:eastAsia="en-GB"/>
        </w:rPr>
        <w:t>.</w:t>
      </w:r>
    </w:p>
    <w:tbl>
      <w:tblPr>
        <w:tblW w:w="7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9"/>
        <w:gridCol w:w="2551"/>
        <w:gridCol w:w="2552"/>
      </w:tblGrid>
      <w:tr w:rsidR="00E67654" w:rsidRPr="00E41771" w:rsidTr="002A44EA">
        <w:trPr>
          <w:trHeight w:val="300"/>
          <w:jc w:val="center"/>
        </w:trPr>
        <w:tc>
          <w:tcPr>
            <w:tcW w:w="1979" w:type="dxa"/>
            <w:shd w:val="clear" w:color="auto" w:fill="D9D9D9"/>
            <w:noWrap/>
            <w:tcMar>
              <w:top w:w="0" w:type="dxa"/>
              <w:left w:w="108" w:type="dxa"/>
              <w:bottom w:w="0" w:type="dxa"/>
              <w:right w:w="108" w:type="dxa"/>
            </w:tcMar>
            <w:vAlign w:val="center"/>
            <w:hideMark/>
          </w:tcPr>
          <w:p w:rsidR="00E67654" w:rsidRPr="00E41771" w:rsidRDefault="00E67654" w:rsidP="009B3B40">
            <w:pPr>
              <w:jc w:val="left"/>
              <w:rPr>
                <w:rFonts w:eastAsia="Calibri"/>
                <w:b/>
                <w:bCs/>
                <w:sz w:val="22"/>
                <w:szCs w:val="22"/>
                <w:lang w:eastAsia="en-GB"/>
              </w:rPr>
            </w:pPr>
            <w:r w:rsidRPr="00E41771">
              <w:rPr>
                <w:b/>
                <w:bCs/>
                <w:sz w:val="22"/>
                <w:szCs w:val="22"/>
                <w:lang w:eastAsia="en-GB"/>
              </w:rPr>
              <w:t>Area</w:t>
            </w:r>
          </w:p>
        </w:tc>
        <w:tc>
          <w:tcPr>
            <w:tcW w:w="2551" w:type="dxa"/>
            <w:shd w:val="clear" w:color="auto" w:fill="D9D9D9"/>
            <w:noWrap/>
            <w:tcMar>
              <w:top w:w="0" w:type="dxa"/>
              <w:left w:w="108" w:type="dxa"/>
              <w:bottom w:w="0" w:type="dxa"/>
              <w:right w:w="108" w:type="dxa"/>
            </w:tcMar>
            <w:vAlign w:val="center"/>
            <w:hideMark/>
          </w:tcPr>
          <w:p w:rsidR="00E67654" w:rsidRPr="00E41771" w:rsidRDefault="00E67654" w:rsidP="009B3B40">
            <w:pPr>
              <w:jc w:val="left"/>
              <w:rPr>
                <w:rFonts w:eastAsia="Calibri"/>
                <w:b/>
                <w:bCs/>
                <w:sz w:val="22"/>
                <w:szCs w:val="22"/>
                <w:lang w:eastAsia="en-GB"/>
              </w:rPr>
            </w:pPr>
            <w:r w:rsidRPr="00E41771">
              <w:rPr>
                <w:b/>
                <w:bCs/>
                <w:sz w:val="22"/>
                <w:szCs w:val="22"/>
                <w:lang w:eastAsia="en-GB"/>
              </w:rPr>
              <w:t>Common name</w:t>
            </w:r>
          </w:p>
        </w:tc>
        <w:tc>
          <w:tcPr>
            <w:tcW w:w="2552" w:type="dxa"/>
            <w:shd w:val="clear" w:color="auto" w:fill="D9D9D9"/>
            <w:noWrap/>
            <w:tcMar>
              <w:top w:w="0" w:type="dxa"/>
              <w:left w:w="108" w:type="dxa"/>
              <w:bottom w:w="0" w:type="dxa"/>
              <w:right w:w="108" w:type="dxa"/>
            </w:tcMar>
            <w:vAlign w:val="center"/>
            <w:hideMark/>
          </w:tcPr>
          <w:p w:rsidR="00E67654" w:rsidRPr="00E41771" w:rsidRDefault="00E67654" w:rsidP="009B3B40">
            <w:pPr>
              <w:jc w:val="left"/>
              <w:rPr>
                <w:rFonts w:eastAsia="Calibri"/>
                <w:b/>
                <w:bCs/>
                <w:sz w:val="22"/>
                <w:szCs w:val="22"/>
                <w:lang w:eastAsia="en-GB"/>
              </w:rPr>
            </w:pPr>
            <w:r w:rsidRPr="00E41771">
              <w:rPr>
                <w:b/>
                <w:bCs/>
                <w:sz w:val="22"/>
                <w:szCs w:val="22"/>
                <w:lang w:eastAsia="en-GB"/>
              </w:rPr>
              <w:t>Scientific name</w:t>
            </w:r>
          </w:p>
        </w:tc>
      </w:tr>
      <w:tr w:rsidR="009264E6" w:rsidRPr="00E41771" w:rsidTr="002A44EA">
        <w:trPr>
          <w:trHeight w:val="300"/>
          <w:jc w:val="center"/>
        </w:trPr>
        <w:tc>
          <w:tcPr>
            <w:tcW w:w="1979" w:type="dxa"/>
            <w:shd w:val="clear" w:color="auto" w:fill="auto"/>
            <w:noWrap/>
            <w:tcMar>
              <w:top w:w="0" w:type="dxa"/>
              <w:left w:w="108" w:type="dxa"/>
              <w:bottom w:w="0" w:type="dxa"/>
              <w:right w:w="108" w:type="dxa"/>
            </w:tcMar>
            <w:vAlign w:val="center"/>
          </w:tcPr>
          <w:p w:rsidR="009264E6" w:rsidRPr="00E41771" w:rsidRDefault="009264E6" w:rsidP="00AC3B44">
            <w:pPr>
              <w:rPr>
                <w:sz w:val="22"/>
                <w:szCs w:val="22"/>
                <w:lang w:eastAsia="en-GB"/>
              </w:rPr>
            </w:pPr>
            <w:r w:rsidRPr="00E41771">
              <w:rPr>
                <w:sz w:val="22"/>
                <w:szCs w:val="22"/>
                <w:lang w:eastAsia="en-GB"/>
              </w:rPr>
              <w:t>GSA 17-18</w:t>
            </w:r>
            <w:r w:rsidR="00B336CE" w:rsidRPr="00E41771">
              <w:rPr>
                <w:sz w:val="22"/>
                <w:szCs w:val="22"/>
                <w:lang w:eastAsia="en-GB"/>
              </w:rPr>
              <w:t xml:space="preserve"> </w:t>
            </w:r>
          </w:p>
        </w:tc>
        <w:tc>
          <w:tcPr>
            <w:tcW w:w="2551" w:type="dxa"/>
            <w:shd w:val="clear" w:color="auto" w:fill="auto"/>
            <w:noWrap/>
            <w:tcMar>
              <w:top w:w="0" w:type="dxa"/>
              <w:left w:w="108" w:type="dxa"/>
              <w:bottom w:w="0" w:type="dxa"/>
              <w:right w:w="108" w:type="dxa"/>
            </w:tcMar>
            <w:vAlign w:val="center"/>
          </w:tcPr>
          <w:p w:rsidR="009264E6" w:rsidRPr="00E41771" w:rsidRDefault="009264E6" w:rsidP="002B7AB2">
            <w:pPr>
              <w:rPr>
                <w:sz w:val="22"/>
                <w:szCs w:val="22"/>
                <w:lang w:eastAsia="en-GB"/>
              </w:rPr>
            </w:pPr>
            <w:r w:rsidRPr="00E41771">
              <w:rPr>
                <w:sz w:val="22"/>
                <w:szCs w:val="22"/>
                <w:lang w:eastAsia="en-GB"/>
              </w:rPr>
              <w:t>Hake</w:t>
            </w:r>
          </w:p>
        </w:tc>
        <w:tc>
          <w:tcPr>
            <w:tcW w:w="2552" w:type="dxa"/>
            <w:shd w:val="clear" w:color="auto" w:fill="auto"/>
            <w:noWrap/>
            <w:tcMar>
              <w:top w:w="0" w:type="dxa"/>
              <w:left w:w="108" w:type="dxa"/>
              <w:bottom w:w="0" w:type="dxa"/>
              <w:right w:w="108" w:type="dxa"/>
            </w:tcMar>
            <w:vAlign w:val="center"/>
          </w:tcPr>
          <w:p w:rsidR="009264E6" w:rsidRPr="00E41771" w:rsidRDefault="009264E6" w:rsidP="002B7AB2">
            <w:pPr>
              <w:rPr>
                <w:rFonts w:eastAsia="Calibri"/>
                <w:b/>
                <w:i/>
                <w:iCs/>
                <w:sz w:val="22"/>
                <w:szCs w:val="22"/>
                <w:lang w:eastAsia="en-GB"/>
              </w:rPr>
            </w:pPr>
            <w:r w:rsidRPr="00E41771">
              <w:rPr>
                <w:rFonts w:eastAsia="Calibri"/>
                <w:b/>
                <w:i/>
                <w:iCs/>
                <w:sz w:val="22"/>
                <w:szCs w:val="22"/>
                <w:lang w:eastAsia="en-GB"/>
              </w:rPr>
              <w:t>Merluccius merluccius</w:t>
            </w:r>
          </w:p>
        </w:tc>
      </w:tr>
      <w:tr w:rsidR="009264E6" w:rsidRPr="00E41771" w:rsidTr="002A44EA">
        <w:trPr>
          <w:trHeight w:val="300"/>
          <w:jc w:val="center"/>
        </w:trPr>
        <w:tc>
          <w:tcPr>
            <w:tcW w:w="1979" w:type="dxa"/>
            <w:shd w:val="clear" w:color="auto" w:fill="auto"/>
            <w:noWrap/>
            <w:tcMar>
              <w:top w:w="0" w:type="dxa"/>
              <w:left w:w="108" w:type="dxa"/>
              <w:bottom w:w="0" w:type="dxa"/>
              <w:right w:w="108" w:type="dxa"/>
            </w:tcMar>
            <w:vAlign w:val="center"/>
          </w:tcPr>
          <w:p w:rsidR="009264E6" w:rsidRPr="00E41771" w:rsidRDefault="009264E6" w:rsidP="002B7AB2">
            <w:pPr>
              <w:rPr>
                <w:rFonts w:eastAsia="Calibri"/>
                <w:sz w:val="22"/>
                <w:szCs w:val="22"/>
                <w:lang w:eastAsia="en-GB"/>
              </w:rPr>
            </w:pPr>
            <w:r w:rsidRPr="00E41771">
              <w:rPr>
                <w:sz w:val="22"/>
                <w:szCs w:val="22"/>
                <w:lang w:eastAsia="en-GB"/>
              </w:rPr>
              <w:t>GSA 17-18</w:t>
            </w:r>
          </w:p>
        </w:tc>
        <w:tc>
          <w:tcPr>
            <w:tcW w:w="2551" w:type="dxa"/>
            <w:shd w:val="clear" w:color="auto" w:fill="auto"/>
            <w:noWrap/>
            <w:tcMar>
              <w:top w:w="0" w:type="dxa"/>
              <w:left w:w="108" w:type="dxa"/>
              <w:bottom w:w="0" w:type="dxa"/>
              <w:right w:w="108" w:type="dxa"/>
            </w:tcMar>
            <w:vAlign w:val="center"/>
          </w:tcPr>
          <w:p w:rsidR="009264E6" w:rsidRPr="00E41771" w:rsidRDefault="009264E6" w:rsidP="002B7AB2">
            <w:pPr>
              <w:rPr>
                <w:rFonts w:eastAsia="Calibri"/>
                <w:sz w:val="22"/>
                <w:szCs w:val="22"/>
                <w:lang w:eastAsia="en-GB"/>
              </w:rPr>
            </w:pPr>
            <w:r w:rsidRPr="00E41771">
              <w:rPr>
                <w:rFonts w:eastAsia="Calibri"/>
                <w:sz w:val="22"/>
                <w:szCs w:val="22"/>
                <w:lang w:eastAsia="en-GB"/>
              </w:rPr>
              <w:t>Red mullet</w:t>
            </w:r>
          </w:p>
        </w:tc>
        <w:tc>
          <w:tcPr>
            <w:tcW w:w="2552" w:type="dxa"/>
            <w:shd w:val="clear" w:color="auto" w:fill="auto"/>
            <w:noWrap/>
            <w:tcMar>
              <w:top w:w="0" w:type="dxa"/>
              <w:left w:w="108" w:type="dxa"/>
              <w:bottom w:w="0" w:type="dxa"/>
              <w:right w:w="108" w:type="dxa"/>
            </w:tcMar>
            <w:vAlign w:val="center"/>
          </w:tcPr>
          <w:p w:rsidR="009264E6" w:rsidRPr="00E41771" w:rsidRDefault="009264E6" w:rsidP="002B7AB2">
            <w:pPr>
              <w:rPr>
                <w:rFonts w:eastAsia="Calibri"/>
                <w:b/>
                <w:i/>
                <w:iCs/>
                <w:sz w:val="22"/>
                <w:szCs w:val="22"/>
                <w:lang w:eastAsia="en-GB"/>
              </w:rPr>
            </w:pPr>
            <w:r w:rsidRPr="00E41771">
              <w:rPr>
                <w:rFonts w:eastAsia="Calibri"/>
                <w:b/>
                <w:i/>
                <w:iCs/>
                <w:sz w:val="22"/>
                <w:szCs w:val="22"/>
                <w:lang w:eastAsia="en-GB"/>
              </w:rPr>
              <w:t>Mullus barbatus</w:t>
            </w:r>
          </w:p>
        </w:tc>
      </w:tr>
      <w:tr w:rsidR="009264E6" w:rsidRPr="00E41771" w:rsidTr="002A44EA">
        <w:trPr>
          <w:trHeight w:val="300"/>
          <w:jc w:val="center"/>
        </w:trPr>
        <w:tc>
          <w:tcPr>
            <w:tcW w:w="1979" w:type="dxa"/>
            <w:shd w:val="clear" w:color="auto" w:fill="auto"/>
            <w:noWrap/>
            <w:tcMar>
              <w:top w:w="0" w:type="dxa"/>
              <w:left w:w="108" w:type="dxa"/>
              <w:bottom w:w="0" w:type="dxa"/>
              <w:right w:w="108" w:type="dxa"/>
            </w:tcMar>
            <w:vAlign w:val="center"/>
          </w:tcPr>
          <w:p w:rsidR="009264E6" w:rsidRPr="00E41771" w:rsidRDefault="009264E6" w:rsidP="002B7AB2">
            <w:pPr>
              <w:rPr>
                <w:rFonts w:eastAsia="Calibri"/>
                <w:sz w:val="22"/>
                <w:szCs w:val="22"/>
                <w:lang w:eastAsia="en-GB"/>
              </w:rPr>
            </w:pPr>
            <w:r w:rsidRPr="00E41771">
              <w:rPr>
                <w:sz w:val="22"/>
                <w:szCs w:val="22"/>
                <w:lang w:eastAsia="en-GB"/>
              </w:rPr>
              <w:t>GSA 17-18</w:t>
            </w:r>
          </w:p>
        </w:tc>
        <w:tc>
          <w:tcPr>
            <w:tcW w:w="2551" w:type="dxa"/>
            <w:shd w:val="clear" w:color="auto" w:fill="auto"/>
            <w:noWrap/>
            <w:tcMar>
              <w:top w:w="0" w:type="dxa"/>
              <w:left w:w="108" w:type="dxa"/>
              <w:bottom w:w="0" w:type="dxa"/>
              <w:right w:w="108" w:type="dxa"/>
            </w:tcMar>
            <w:vAlign w:val="center"/>
          </w:tcPr>
          <w:p w:rsidR="009264E6" w:rsidRPr="00E41771" w:rsidRDefault="009264E6" w:rsidP="002B7AB2">
            <w:pPr>
              <w:rPr>
                <w:rFonts w:eastAsia="Calibri"/>
                <w:sz w:val="22"/>
                <w:szCs w:val="22"/>
                <w:lang w:eastAsia="en-GB"/>
              </w:rPr>
            </w:pPr>
            <w:r w:rsidRPr="00E41771">
              <w:rPr>
                <w:rFonts w:eastAsia="Calibri"/>
                <w:sz w:val="22"/>
                <w:szCs w:val="22"/>
                <w:lang w:eastAsia="en-GB"/>
              </w:rPr>
              <w:t>Norway lobster</w:t>
            </w:r>
          </w:p>
        </w:tc>
        <w:tc>
          <w:tcPr>
            <w:tcW w:w="2552" w:type="dxa"/>
            <w:shd w:val="clear" w:color="auto" w:fill="auto"/>
            <w:noWrap/>
            <w:tcMar>
              <w:top w:w="0" w:type="dxa"/>
              <w:left w:w="108" w:type="dxa"/>
              <w:bottom w:w="0" w:type="dxa"/>
              <w:right w:w="108" w:type="dxa"/>
            </w:tcMar>
            <w:vAlign w:val="center"/>
          </w:tcPr>
          <w:p w:rsidR="009264E6" w:rsidRPr="00E41771" w:rsidRDefault="009264E6" w:rsidP="002B7AB2">
            <w:pPr>
              <w:rPr>
                <w:rFonts w:eastAsia="Calibri"/>
                <w:b/>
                <w:i/>
                <w:iCs/>
                <w:sz w:val="22"/>
                <w:szCs w:val="22"/>
                <w:lang w:eastAsia="en-GB"/>
              </w:rPr>
            </w:pPr>
            <w:r w:rsidRPr="00E41771">
              <w:rPr>
                <w:rFonts w:eastAsia="Calibri"/>
                <w:b/>
                <w:i/>
                <w:iCs/>
                <w:sz w:val="22"/>
                <w:szCs w:val="22"/>
                <w:lang w:eastAsia="en-GB"/>
              </w:rPr>
              <w:t>Nephrops norvegicus</w:t>
            </w:r>
          </w:p>
        </w:tc>
      </w:tr>
      <w:tr w:rsidR="006C414B" w:rsidRPr="00E41771" w:rsidTr="002A44EA">
        <w:trPr>
          <w:trHeight w:val="300"/>
          <w:jc w:val="center"/>
        </w:trPr>
        <w:tc>
          <w:tcPr>
            <w:tcW w:w="1979" w:type="dxa"/>
            <w:shd w:val="clear" w:color="auto" w:fill="auto"/>
            <w:noWrap/>
            <w:tcMar>
              <w:top w:w="0" w:type="dxa"/>
              <w:left w:w="108" w:type="dxa"/>
              <w:bottom w:w="0" w:type="dxa"/>
              <w:right w:w="108" w:type="dxa"/>
            </w:tcMar>
            <w:vAlign w:val="center"/>
            <w:hideMark/>
          </w:tcPr>
          <w:p w:rsidR="006C414B" w:rsidRPr="00E41771" w:rsidRDefault="006C414B" w:rsidP="002B7AB2">
            <w:pPr>
              <w:rPr>
                <w:rFonts w:eastAsia="Calibri"/>
                <w:sz w:val="22"/>
                <w:szCs w:val="22"/>
                <w:lang w:eastAsia="en-GB"/>
              </w:rPr>
            </w:pPr>
            <w:r w:rsidRPr="00E41771">
              <w:rPr>
                <w:sz w:val="22"/>
                <w:szCs w:val="22"/>
                <w:lang w:eastAsia="en-GB"/>
              </w:rPr>
              <w:t>GSA 17-18-19</w:t>
            </w:r>
          </w:p>
        </w:tc>
        <w:tc>
          <w:tcPr>
            <w:tcW w:w="2551" w:type="dxa"/>
            <w:shd w:val="clear" w:color="auto" w:fill="auto"/>
            <w:noWrap/>
            <w:tcMar>
              <w:top w:w="0" w:type="dxa"/>
              <w:left w:w="108" w:type="dxa"/>
              <w:bottom w:w="0" w:type="dxa"/>
              <w:right w:w="108" w:type="dxa"/>
            </w:tcMar>
            <w:vAlign w:val="center"/>
          </w:tcPr>
          <w:p w:rsidR="006C414B" w:rsidRPr="00E41771" w:rsidRDefault="006C414B" w:rsidP="002B7AB2">
            <w:pPr>
              <w:rPr>
                <w:rFonts w:eastAsia="Calibri"/>
                <w:sz w:val="22"/>
                <w:szCs w:val="22"/>
                <w:lang w:eastAsia="en-GB"/>
              </w:rPr>
            </w:pPr>
            <w:r w:rsidRPr="00E41771">
              <w:rPr>
                <w:rFonts w:eastAsia="Calibri"/>
                <w:sz w:val="22"/>
                <w:szCs w:val="22"/>
                <w:lang w:eastAsia="en-GB"/>
              </w:rPr>
              <w:t>Deep-water rose shrimp</w:t>
            </w:r>
          </w:p>
        </w:tc>
        <w:tc>
          <w:tcPr>
            <w:tcW w:w="2552" w:type="dxa"/>
            <w:shd w:val="clear" w:color="auto" w:fill="auto"/>
            <w:noWrap/>
            <w:tcMar>
              <w:top w:w="0" w:type="dxa"/>
              <w:left w:w="108" w:type="dxa"/>
              <w:bottom w:w="0" w:type="dxa"/>
              <w:right w:w="108" w:type="dxa"/>
            </w:tcMar>
            <w:vAlign w:val="center"/>
            <w:hideMark/>
          </w:tcPr>
          <w:p w:rsidR="006C414B" w:rsidRPr="00E41771" w:rsidRDefault="006C414B" w:rsidP="002B7AB2">
            <w:pPr>
              <w:rPr>
                <w:rFonts w:eastAsia="Calibri"/>
                <w:b/>
                <w:i/>
                <w:iCs/>
                <w:sz w:val="22"/>
                <w:szCs w:val="22"/>
                <w:lang w:eastAsia="en-GB"/>
              </w:rPr>
            </w:pPr>
            <w:r w:rsidRPr="00E41771">
              <w:rPr>
                <w:rFonts w:eastAsia="Calibri"/>
                <w:b/>
                <w:i/>
                <w:iCs/>
                <w:sz w:val="22"/>
                <w:szCs w:val="22"/>
                <w:lang w:eastAsia="en-GB"/>
              </w:rPr>
              <w:t>Parapenaeus longirostris</w:t>
            </w:r>
          </w:p>
        </w:tc>
      </w:tr>
      <w:tr w:rsidR="006C414B" w:rsidRPr="00E41771" w:rsidTr="002A44EA">
        <w:trPr>
          <w:trHeight w:val="300"/>
          <w:jc w:val="center"/>
        </w:trPr>
        <w:tc>
          <w:tcPr>
            <w:tcW w:w="1979" w:type="dxa"/>
            <w:shd w:val="clear" w:color="auto" w:fill="auto"/>
            <w:noWrap/>
            <w:tcMar>
              <w:top w:w="0" w:type="dxa"/>
              <w:left w:w="108" w:type="dxa"/>
              <w:bottom w:w="0" w:type="dxa"/>
              <w:right w:w="108" w:type="dxa"/>
            </w:tcMar>
            <w:vAlign w:val="center"/>
          </w:tcPr>
          <w:p w:rsidR="006C414B" w:rsidRPr="00E41771" w:rsidRDefault="006C414B" w:rsidP="002B7AB2">
            <w:pPr>
              <w:rPr>
                <w:sz w:val="22"/>
                <w:szCs w:val="22"/>
                <w:lang w:eastAsia="en-GB"/>
              </w:rPr>
            </w:pPr>
            <w:r w:rsidRPr="00E41771">
              <w:rPr>
                <w:sz w:val="22"/>
                <w:szCs w:val="22"/>
                <w:lang w:eastAsia="en-GB"/>
              </w:rPr>
              <w:t>GSA 17</w:t>
            </w:r>
          </w:p>
        </w:tc>
        <w:tc>
          <w:tcPr>
            <w:tcW w:w="2551" w:type="dxa"/>
            <w:shd w:val="clear" w:color="auto" w:fill="auto"/>
            <w:noWrap/>
            <w:tcMar>
              <w:top w:w="0" w:type="dxa"/>
              <w:left w:w="108" w:type="dxa"/>
              <w:bottom w:w="0" w:type="dxa"/>
              <w:right w:w="108" w:type="dxa"/>
            </w:tcMar>
            <w:vAlign w:val="center"/>
          </w:tcPr>
          <w:p w:rsidR="006C414B" w:rsidRPr="00E41771" w:rsidRDefault="006C414B" w:rsidP="002B7AB2">
            <w:pPr>
              <w:rPr>
                <w:sz w:val="22"/>
                <w:szCs w:val="22"/>
                <w:lang w:eastAsia="en-GB"/>
              </w:rPr>
            </w:pPr>
            <w:r w:rsidRPr="00E41771">
              <w:rPr>
                <w:sz w:val="22"/>
                <w:szCs w:val="22"/>
                <w:lang w:eastAsia="en-GB"/>
              </w:rPr>
              <w:t>Sole</w:t>
            </w:r>
          </w:p>
        </w:tc>
        <w:tc>
          <w:tcPr>
            <w:tcW w:w="2552" w:type="dxa"/>
            <w:shd w:val="clear" w:color="auto" w:fill="auto"/>
            <w:noWrap/>
            <w:tcMar>
              <w:top w:w="0" w:type="dxa"/>
              <w:left w:w="108" w:type="dxa"/>
              <w:bottom w:w="0" w:type="dxa"/>
              <w:right w:w="108" w:type="dxa"/>
            </w:tcMar>
            <w:vAlign w:val="center"/>
          </w:tcPr>
          <w:p w:rsidR="006C414B" w:rsidRPr="00E41771" w:rsidRDefault="006C414B" w:rsidP="002B7AB2">
            <w:pPr>
              <w:rPr>
                <w:rFonts w:eastAsia="Calibri"/>
                <w:b/>
                <w:i/>
                <w:iCs/>
                <w:sz w:val="22"/>
                <w:szCs w:val="22"/>
                <w:lang w:eastAsia="en-GB"/>
              </w:rPr>
            </w:pPr>
            <w:r w:rsidRPr="00E41771">
              <w:rPr>
                <w:rFonts w:eastAsia="Calibri"/>
                <w:b/>
                <w:i/>
                <w:iCs/>
                <w:sz w:val="22"/>
                <w:szCs w:val="22"/>
                <w:lang w:eastAsia="en-GB"/>
              </w:rPr>
              <w:t>Solea vulgaris</w:t>
            </w:r>
          </w:p>
        </w:tc>
      </w:tr>
      <w:tr w:rsidR="006C414B" w:rsidRPr="00E41771" w:rsidTr="002A44EA">
        <w:trPr>
          <w:trHeight w:val="300"/>
          <w:jc w:val="center"/>
        </w:trPr>
        <w:tc>
          <w:tcPr>
            <w:tcW w:w="1979" w:type="dxa"/>
            <w:shd w:val="clear" w:color="auto" w:fill="auto"/>
            <w:noWrap/>
            <w:tcMar>
              <w:top w:w="0" w:type="dxa"/>
              <w:left w:w="108" w:type="dxa"/>
              <w:bottom w:w="0" w:type="dxa"/>
              <w:right w:w="108" w:type="dxa"/>
            </w:tcMar>
            <w:vAlign w:val="center"/>
          </w:tcPr>
          <w:p w:rsidR="006C414B" w:rsidRPr="00E41771" w:rsidRDefault="006C414B" w:rsidP="002B7AB2">
            <w:pPr>
              <w:rPr>
                <w:rFonts w:eastAsia="Calibri"/>
                <w:sz w:val="22"/>
                <w:szCs w:val="22"/>
                <w:lang w:eastAsia="en-GB"/>
              </w:rPr>
            </w:pPr>
            <w:r w:rsidRPr="00E41771">
              <w:rPr>
                <w:sz w:val="22"/>
                <w:szCs w:val="22"/>
                <w:lang w:eastAsia="en-GB"/>
              </w:rPr>
              <w:t>GSA 17-18</w:t>
            </w:r>
          </w:p>
        </w:tc>
        <w:tc>
          <w:tcPr>
            <w:tcW w:w="2551" w:type="dxa"/>
            <w:shd w:val="clear" w:color="auto" w:fill="auto"/>
            <w:noWrap/>
            <w:tcMar>
              <w:top w:w="0" w:type="dxa"/>
              <w:left w:w="108" w:type="dxa"/>
              <w:bottom w:w="0" w:type="dxa"/>
              <w:right w:w="108" w:type="dxa"/>
            </w:tcMar>
            <w:vAlign w:val="center"/>
          </w:tcPr>
          <w:p w:rsidR="006C414B" w:rsidRPr="00E41771" w:rsidRDefault="006C414B" w:rsidP="002B7AB2">
            <w:pPr>
              <w:rPr>
                <w:rFonts w:eastAsia="Calibri"/>
                <w:sz w:val="22"/>
                <w:szCs w:val="22"/>
                <w:lang w:eastAsia="en-GB"/>
              </w:rPr>
            </w:pPr>
            <w:r w:rsidRPr="00E41771">
              <w:rPr>
                <w:rFonts w:eastAsia="Calibri"/>
                <w:sz w:val="22"/>
                <w:szCs w:val="22"/>
                <w:lang w:eastAsia="en-GB"/>
              </w:rPr>
              <w:t>Spottail mantis shrimp</w:t>
            </w:r>
          </w:p>
        </w:tc>
        <w:tc>
          <w:tcPr>
            <w:tcW w:w="2552" w:type="dxa"/>
            <w:shd w:val="clear" w:color="auto" w:fill="auto"/>
            <w:noWrap/>
            <w:tcMar>
              <w:top w:w="0" w:type="dxa"/>
              <w:left w:w="108" w:type="dxa"/>
              <w:bottom w:w="0" w:type="dxa"/>
              <w:right w:w="108" w:type="dxa"/>
            </w:tcMar>
            <w:vAlign w:val="center"/>
          </w:tcPr>
          <w:p w:rsidR="00CA3E24" w:rsidRPr="00E41771" w:rsidRDefault="006C414B" w:rsidP="002B7AB2">
            <w:pPr>
              <w:rPr>
                <w:b/>
                <w:i/>
                <w:iCs/>
                <w:sz w:val="22"/>
                <w:szCs w:val="22"/>
                <w:lang w:eastAsia="en-GB"/>
              </w:rPr>
            </w:pPr>
            <w:r w:rsidRPr="00E41771">
              <w:rPr>
                <w:b/>
                <w:i/>
                <w:iCs/>
                <w:sz w:val="22"/>
                <w:szCs w:val="22"/>
                <w:lang w:eastAsia="en-GB"/>
              </w:rPr>
              <w:t>Squilla mantis</w:t>
            </w:r>
          </w:p>
        </w:tc>
      </w:tr>
    </w:tbl>
    <w:p w:rsidR="00597281" w:rsidRDefault="00597281" w:rsidP="00B32B14">
      <w:pPr>
        <w:jc w:val="left"/>
        <w:rPr>
          <w:i/>
          <w:sz w:val="22"/>
          <w:szCs w:val="22"/>
          <w:lang w:eastAsia="en-GB"/>
        </w:rPr>
      </w:pPr>
    </w:p>
    <w:p w:rsidR="007340A5" w:rsidRDefault="00597281" w:rsidP="00B32B14">
      <w:pPr>
        <w:jc w:val="left"/>
        <w:rPr>
          <w:i/>
          <w:sz w:val="22"/>
          <w:szCs w:val="22"/>
          <w:lang w:eastAsia="en-GB"/>
        </w:rPr>
      </w:pPr>
      <w:r>
        <w:rPr>
          <w:i/>
          <w:sz w:val="22"/>
          <w:szCs w:val="22"/>
          <w:lang w:eastAsia="en-GB"/>
        </w:rPr>
        <w:br w:type="page"/>
      </w:r>
      <w:r>
        <w:rPr>
          <w:i/>
          <w:sz w:val="22"/>
          <w:szCs w:val="22"/>
          <w:lang w:eastAsia="en-GB"/>
        </w:rPr>
        <w:lastRenderedPageBreak/>
        <w:t>ANNEX II</w:t>
      </w:r>
    </w:p>
    <w:p w:rsidR="00597281" w:rsidRDefault="00597281" w:rsidP="00B32B14">
      <w:pPr>
        <w:jc w:val="left"/>
        <w:rPr>
          <w:i/>
          <w:sz w:val="22"/>
          <w:szCs w:val="22"/>
          <w:lang w:eastAsia="en-GB"/>
        </w:rPr>
      </w:pPr>
    </w:p>
    <w:tbl>
      <w:tblPr>
        <w:tblW w:w="5000" w:type="pct"/>
        <w:tblLook w:val="04A0" w:firstRow="1" w:lastRow="0" w:firstColumn="1" w:lastColumn="0" w:noHBand="0" w:noVBand="1"/>
      </w:tblPr>
      <w:tblGrid>
        <w:gridCol w:w="568"/>
        <w:gridCol w:w="984"/>
        <w:gridCol w:w="1200"/>
        <w:gridCol w:w="1418"/>
        <w:gridCol w:w="1691"/>
        <w:gridCol w:w="1329"/>
        <w:gridCol w:w="1460"/>
        <w:gridCol w:w="1091"/>
      </w:tblGrid>
      <w:tr w:rsidR="00CE00CB" w:rsidRPr="00CE00CB" w:rsidTr="00CE00CB">
        <w:trPr>
          <w:trHeight w:val="750"/>
        </w:trPr>
        <w:tc>
          <w:tcPr>
            <w:tcW w:w="291"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Run</w:t>
            </w:r>
          </w:p>
        </w:tc>
        <w:tc>
          <w:tcPr>
            <w:tcW w:w="505" w:type="pct"/>
            <w:tcBorders>
              <w:top w:val="single" w:sz="8" w:space="0" w:color="auto"/>
              <w:left w:val="nil"/>
              <w:bottom w:val="single" w:sz="4" w:space="0" w:color="auto"/>
              <w:right w:val="single" w:sz="4" w:space="0" w:color="auto"/>
            </w:tcBorders>
            <w:shd w:val="clear" w:color="auto" w:fill="auto"/>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Scenario</w:t>
            </w:r>
          </w:p>
        </w:tc>
        <w:tc>
          <w:tcPr>
            <w:tcW w:w="616" w:type="pct"/>
            <w:tcBorders>
              <w:top w:val="single" w:sz="8" w:space="0" w:color="auto"/>
              <w:left w:val="nil"/>
              <w:bottom w:val="single" w:sz="4" w:space="0" w:color="auto"/>
              <w:right w:val="single" w:sz="4" w:space="0" w:color="auto"/>
            </w:tcBorders>
            <w:shd w:val="clear" w:color="auto" w:fill="auto"/>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Stocks</w:t>
            </w:r>
          </w:p>
        </w:tc>
        <w:tc>
          <w:tcPr>
            <w:tcW w:w="728" w:type="pct"/>
            <w:tcBorders>
              <w:top w:val="single" w:sz="8" w:space="0" w:color="auto"/>
              <w:left w:val="nil"/>
              <w:bottom w:val="single" w:sz="4" w:space="0" w:color="auto"/>
              <w:right w:val="single" w:sz="4" w:space="0" w:color="auto"/>
            </w:tcBorders>
            <w:shd w:val="clear" w:color="auto" w:fill="auto"/>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Management Procedure</w:t>
            </w:r>
          </w:p>
        </w:tc>
        <w:tc>
          <w:tcPr>
            <w:tcW w:w="868" w:type="pct"/>
            <w:tcBorders>
              <w:top w:val="single" w:sz="8" w:space="0" w:color="auto"/>
              <w:left w:val="nil"/>
              <w:bottom w:val="single" w:sz="4" w:space="0" w:color="auto"/>
              <w:right w:val="single" w:sz="4" w:space="0" w:color="auto"/>
            </w:tcBorders>
            <w:shd w:val="clear" w:color="auto" w:fill="auto"/>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 target year</w:t>
            </w:r>
          </w:p>
        </w:tc>
        <w:tc>
          <w:tcPr>
            <w:tcW w:w="682" w:type="pct"/>
            <w:tcBorders>
              <w:top w:val="single" w:sz="8" w:space="0" w:color="auto"/>
              <w:left w:val="nil"/>
              <w:bottom w:val="single" w:sz="4" w:space="0" w:color="auto"/>
              <w:right w:val="single" w:sz="4" w:space="0" w:color="auto"/>
            </w:tcBorders>
            <w:shd w:val="clear" w:color="auto" w:fill="auto"/>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Recruitment model</w:t>
            </w:r>
          </w:p>
        </w:tc>
        <w:tc>
          <w:tcPr>
            <w:tcW w:w="749" w:type="pct"/>
            <w:tcBorders>
              <w:top w:val="single" w:sz="8" w:space="0" w:color="auto"/>
              <w:left w:val="nil"/>
              <w:bottom w:val="single" w:sz="4" w:space="0" w:color="auto"/>
              <w:right w:val="single" w:sz="4" w:space="0" w:color="auto"/>
            </w:tcBorders>
            <w:shd w:val="clear" w:color="auto" w:fill="auto"/>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Hyperstability</w:t>
            </w:r>
          </w:p>
        </w:tc>
        <w:tc>
          <w:tcPr>
            <w:tcW w:w="560" w:type="pct"/>
            <w:tcBorders>
              <w:top w:val="single" w:sz="8" w:space="0" w:color="auto"/>
              <w:left w:val="nil"/>
              <w:bottom w:val="single" w:sz="4" w:space="0" w:color="auto"/>
              <w:right w:val="single" w:sz="8" w:space="0" w:color="auto"/>
            </w:tcBorders>
            <w:shd w:val="clear" w:color="auto" w:fill="auto"/>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Technical measures</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0</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SQO</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SQUO</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SQUO</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Fmsy2020</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2</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3</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4</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5</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6</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7</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8</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9</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10</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11</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12</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13</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14</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15</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16</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29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17</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All</w:t>
            </w:r>
            <w:r>
              <w:rPr>
                <w:rFonts w:ascii="Calibri" w:hAnsi="Calibri" w:cs="Calibri"/>
                <w:color w:val="000000"/>
                <w:sz w:val="22"/>
                <w:szCs w:val="22"/>
                <w:lang w:val="en-US" w:eastAsia="en-US"/>
              </w:rPr>
              <w:t xml:space="preserve"> in Tab 1</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EFFORT</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HYPER</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31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18</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Fmsy2020</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31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19</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31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20</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31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21</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31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22</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Fmsy2024</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31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23</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r w:rsidR="00CE00CB" w:rsidRPr="00CE00CB" w:rsidTr="00CE00CB">
        <w:trPr>
          <w:trHeight w:val="31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24</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310"/>
        </w:trPr>
        <w:tc>
          <w:tcPr>
            <w:tcW w:w="291" w:type="pct"/>
            <w:tcBorders>
              <w:top w:val="nil"/>
              <w:left w:val="single" w:sz="8" w:space="0" w:color="auto"/>
              <w:bottom w:val="single" w:sz="4"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25</w:t>
            </w:r>
          </w:p>
        </w:tc>
        <w:tc>
          <w:tcPr>
            <w:tcW w:w="505"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geomean</w:t>
            </w:r>
          </w:p>
        </w:tc>
        <w:tc>
          <w:tcPr>
            <w:tcW w:w="749" w:type="pct"/>
            <w:tcBorders>
              <w:top w:val="nil"/>
              <w:left w:val="nil"/>
              <w:bottom w:val="single" w:sz="4"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4"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FRA/6NM</w:t>
            </w:r>
          </w:p>
        </w:tc>
      </w:tr>
      <w:tr w:rsidR="00CE00CB" w:rsidRPr="00CE00CB" w:rsidTr="00CE00CB">
        <w:trPr>
          <w:trHeight w:val="320"/>
        </w:trPr>
        <w:tc>
          <w:tcPr>
            <w:tcW w:w="291" w:type="pct"/>
            <w:tcBorders>
              <w:top w:val="nil"/>
              <w:left w:val="single" w:sz="8" w:space="0" w:color="auto"/>
              <w:bottom w:val="single" w:sz="8" w:space="0" w:color="auto"/>
              <w:right w:val="single" w:sz="4" w:space="0" w:color="auto"/>
            </w:tcBorders>
            <w:shd w:val="clear" w:color="auto" w:fill="auto"/>
            <w:noWrap/>
            <w:vAlign w:val="bottom"/>
            <w:hideMark/>
          </w:tcPr>
          <w:p w:rsidR="00CE00CB" w:rsidRPr="00CE00CB" w:rsidRDefault="00CE00CB" w:rsidP="00CE00CB">
            <w:pPr>
              <w:jc w:val="righ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26</w:t>
            </w:r>
          </w:p>
        </w:tc>
        <w:tc>
          <w:tcPr>
            <w:tcW w:w="505" w:type="pct"/>
            <w:tcBorders>
              <w:top w:val="nil"/>
              <w:left w:val="nil"/>
              <w:bottom w:val="single" w:sz="8"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 </w:t>
            </w:r>
          </w:p>
        </w:tc>
        <w:tc>
          <w:tcPr>
            <w:tcW w:w="616" w:type="pct"/>
            <w:tcBorders>
              <w:top w:val="nil"/>
              <w:left w:val="nil"/>
              <w:bottom w:val="single" w:sz="8"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SOL + NEP</w:t>
            </w:r>
          </w:p>
        </w:tc>
        <w:tc>
          <w:tcPr>
            <w:tcW w:w="728" w:type="pct"/>
            <w:tcBorders>
              <w:top w:val="nil"/>
              <w:left w:val="nil"/>
              <w:bottom w:val="single" w:sz="8"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lang w:val="en-US" w:eastAsia="en-US"/>
              </w:rPr>
            </w:pPr>
            <w:r w:rsidRPr="00CE00CB">
              <w:rPr>
                <w:rFonts w:ascii="Calibri" w:hAnsi="Calibri" w:cs="Calibri"/>
                <w:color w:val="000000"/>
                <w:lang w:val="en-US" w:eastAsia="en-US"/>
              </w:rPr>
              <w:t>CATCHLIM</w:t>
            </w:r>
          </w:p>
        </w:tc>
        <w:tc>
          <w:tcPr>
            <w:tcW w:w="868" w:type="pct"/>
            <w:tcBorders>
              <w:top w:val="nil"/>
              <w:left w:val="nil"/>
              <w:bottom w:val="single" w:sz="8"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FIXREDUX</w:t>
            </w:r>
          </w:p>
        </w:tc>
        <w:tc>
          <w:tcPr>
            <w:tcW w:w="682" w:type="pct"/>
            <w:tcBorders>
              <w:top w:val="nil"/>
              <w:left w:val="nil"/>
              <w:bottom w:val="single" w:sz="8"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BH</w:t>
            </w:r>
          </w:p>
        </w:tc>
        <w:tc>
          <w:tcPr>
            <w:tcW w:w="749" w:type="pct"/>
            <w:tcBorders>
              <w:top w:val="nil"/>
              <w:left w:val="nil"/>
              <w:bottom w:val="single" w:sz="8" w:space="0" w:color="auto"/>
              <w:right w:val="single" w:sz="4"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c>
          <w:tcPr>
            <w:tcW w:w="560" w:type="pct"/>
            <w:tcBorders>
              <w:top w:val="nil"/>
              <w:left w:val="nil"/>
              <w:bottom w:val="single" w:sz="8" w:space="0" w:color="auto"/>
              <w:right w:val="single" w:sz="8" w:space="0" w:color="auto"/>
            </w:tcBorders>
            <w:shd w:val="clear" w:color="auto" w:fill="auto"/>
            <w:noWrap/>
            <w:vAlign w:val="bottom"/>
            <w:hideMark/>
          </w:tcPr>
          <w:p w:rsidR="00CE00CB" w:rsidRPr="00CE00CB" w:rsidRDefault="00CE00CB" w:rsidP="00CE00CB">
            <w:pPr>
              <w:jc w:val="left"/>
              <w:rPr>
                <w:rFonts w:ascii="Calibri" w:hAnsi="Calibri" w:cs="Calibri"/>
                <w:color w:val="000000"/>
                <w:sz w:val="22"/>
                <w:szCs w:val="22"/>
                <w:lang w:val="en-US" w:eastAsia="en-US"/>
              </w:rPr>
            </w:pPr>
            <w:r w:rsidRPr="00CE00CB">
              <w:rPr>
                <w:rFonts w:ascii="Calibri" w:hAnsi="Calibri" w:cs="Calibri"/>
                <w:color w:val="000000"/>
                <w:sz w:val="22"/>
                <w:szCs w:val="22"/>
                <w:lang w:val="en-US" w:eastAsia="en-US"/>
              </w:rPr>
              <w:t>no</w:t>
            </w:r>
          </w:p>
        </w:tc>
      </w:tr>
    </w:tbl>
    <w:p w:rsidR="00597281" w:rsidRPr="00E41771" w:rsidRDefault="00597281" w:rsidP="00B32B14">
      <w:pPr>
        <w:jc w:val="left"/>
        <w:rPr>
          <w:i/>
          <w:sz w:val="22"/>
          <w:szCs w:val="22"/>
          <w:lang w:eastAsia="en-GB"/>
        </w:rPr>
      </w:pPr>
    </w:p>
    <w:sectPr w:rsidR="00597281" w:rsidRPr="00E41771" w:rsidSect="005739B4">
      <w:footerReference w:type="default" r:id="rId8"/>
      <w:pgSz w:w="11907" w:h="16839" w:code="9"/>
      <w:pgMar w:top="1191" w:right="1191" w:bottom="1191" w:left="119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19" w:rsidRDefault="00D76C19">
      <w:r>
        <w:separator/>
      </w:r>
    </w:p>
  </w:endnote>
  <w:endnote w:type="continuationSeparator" w:id="0">
    <w:p w:rsidR="00D76C19" w:rsidRDefault="00D7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19" w:rsidRPr="00194834" w:rsidRDefault="00D76C19">
    <w:pPr>
      <w:pStyle w:val="Footer"/>
      <w:jc w:val="right"/>
      <w:rPr>
        <w:sz w:val="22"/>
      </w:rPr>
    </w:pPr>
    <w:r w:rsidRPr="00194834">
      <w:rPr>
        <w:sz w:val="22"/>
      </w:rPr>
      <w:fldChar w:fldCharType="begin"/>
    </w:r>
    <w:r w:rsidRPr="00194834">
      <w:rPr>
        <w:sz w:val="22"/>
      </w:rPr>
      <w:instrText xml:space="preserve"> PAGE   \* MERGEFORMAT </w:instrText>
    </w:r>
    <w:r w:rsidRPr="00194834">
      <w:rPr>
        <w:sz w:val="22"/>
      </w:rPr>
      <w:fldChar w:fldCharType="separate"/>
    </w:r>
    <w:r w:rsidR="00127F7D">
      <w:rPr>
        <w:noProof/>
        <w:sz w:val="22"/>
      </w:rPr>
      <w:t>3</w:t>
    </w:r>
    <w:r w:rsidRPr="00194834">
      <w:rPr>
        <w:noProof/>
        <w:sz w:val="22"/>
      </w:rPr>
      <w:fldChar w:fldCharType="end"/>
    </w:r>
    <w:r w:rsidRPr="00194834">
      <w:rPr>
        <w:sz w:val="22"/>
      </w:rPr>
      <w:t xml:space="preserve"> </w:t>
    </w:r>
  </w:p>
  <w:p w:rsidR="00D76C19" w:rsidRDefault="00D7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19" w:rsidRDefault="00D76C19">
      <w:r>
        <w:separator/>
      </w:r>
    </w:p>
  </w:footnote>
  <w:footnote w:type="continuationSeparator" w:id="0">
    <w:p w:rsidR="00D76C19" w:rsidRDefault="00D76C19">
      <w:r>
        <w:continuationSeparator/>
      </w:r>
    </w:p>
  </w:footnote>
  <w:footnote w:id="1">
    <w:p w:rsidR="00D76C19" w:rsidRPr="00646477" w:rsidRDefault="00D76C19">
      <w:pPr>
        <w:pStyle w:val="FootnoteText"/>
        <w:rPr>
          <w:lang w:val="en-US"/>
        </w:rPr>
      </w:pPr>
      <w:r>
        <w:rPr>
          <w:rStyle w:val="FootnoteReference"/>
        </w:rPr>
        <w:footnoteRef/>
      </w:r>
      <w:r>
        <w:t xml:space="preserve"> </w:t>
      </w:r>
      <w:r>
        <w:rPr>
          <w:lang w:val="en-US"/>
        </w:rPr>
        <w:t>List EWGS 17-15 etc</w:t>
      </w:r>
    </w:p>
  </w:footnote>
  <w:footnote w:id="2">
    <w:p w:rsidR="00D76C19" w:rsidRDefault="00D76C19" w:rsidP="00234750">
      <w:pPr>
        <w:pStyle w:val="FootnoteText"/>
      </w:pPr>
      <w:r>
        <w:rPr>
          <w:rStyle w:val="FootnoteReference"/>
        </w:rPr>
        <w:footnoteRef/>
      </w:r>
      <w:r w:rsidRPr="00C806F9">
        <w:rPr>
          <w:lang w:val="it-IT"/>
        </w:rPr>
        <w:t xml:space="preserve"> </w:t>
      </w:r>
      <w:r w:rsidR="00C806F9" w:rsidRPr="00C806F9">
        <w:rPr>
          <w:rFonts w:ascii="Arial" w:hAnsi="Arial" w:cs="Arial"/>
          <w:color w:val="222222"/>
          <w:lang w:val="it-IT"/>
        </w:rPr>
        <w:t xml:space="preserve">Scarcella, Giuseppe, Fabio Grati, Saša Raicevich, Tommaso Russo, Roberto Gramolini, Robert D. Scott, Piero Polidori et al. </w:t>
      </w:r>
      <w:r w:rsidR="00C806F9">
        <w:rPr>
          <w:rFonts w:ascii="Arial" w:hAnsi="Arial" w:cs="Arial"/>
          <w:color w:val="222222"/>
        </w:rPr>
        <w:t xml:space="preserve">"Common sole in the northern and central Adriatic Sea: spatial management scenarios to rebuild the stock." </w:t>
      </w:r>
      <w:r w:rsidR="00C806F9">
        <w:rPr>
          <w:rFonts w:ascii="Arial" w:hAnsi="Arial" w:cs="Arial"/>
          <w:i/>
          <w:iCs/>
          <w:color w:val="222222"/>
        </w:rPr>
        <w:t>Journal of sea research</w:t>
      </w:r>
      <w:r w:rsidR="00C806F9">
        <w:rPr>
          <w:rFonts w:ascii="Arial" w:hAnsi="Arial" w:cs="Arial"/>
          <w:color w:val="222222"/>
        </w:rPr>
        <w:t xml:space="preserve"> 89 (2014): 12-22.</w:t>
      </w:r>
    </w:p>
    <w:p w:rsidR="00D76C19" w:rsidRPr="00234750" w:rsidRDefault="00D76C19" w:rsidP="00234750">
      <w:pPr>
        <w:pStyle w:val="FootnoteText"/>
        <w:rPr>
          <w:lang w:val="en-US"/>
        </w:rPr>
      </w:pPr>
      <w:r>
        <w:t>February 2014 Netherlands Journal of Sea Research 89</w:t>
      </w:r>
    </w:p>
  </w:footnote>
  <w:footnote w:id="3">
    <w:p w:rsidR="00FE00D9" w:rsidRPr="00FE00D9" w:rsidRDefault="00FE00D9">
      <w:pPr>
        <w:pStyle w:val="FootnoteText"/>
        <w:rPr>
          <w:lang w:val="en-US"/>
        </w:rPr>
      </w:pPr>
      <w:r>
        <w:rPr>
          <w:rStyle w:val="FootnoteReference"/>
        </w:rPr>
        <w:footnoteRef/>
      </w:r>
      <w:r w:rsidR="00C806F9" w:rsidRPr="00C806F9">
        <w:rPr>
          <w:lang w:val="it-IT"/>
        </w:rPr>
        <w:t xml:space="preserve"> </w:t>
      </w:r>
      <w:r w:rsidR="00C806F9" w:rsidRPr="00C806F9">
        <w:rPr>
          <w:rFonts w:ascii="Arial" w:hAnsi="Arial" w:cs="Arial"/>
          <w:color w:val="222222"/>
          <w:lang w:val="it-IT"/>
        </w:rPr>
        <w:t xml:space="preserve">Bastardie, Francois, Silvia Angelini, Luca Bolognini, Federico Fuga, Chiara Manfredi, Michela Martinelli, J. Rasmus Nielsen, Alberto Santojanni, Giuseppe Scarcella, and Fabio Grati. </w:t>
      </w:r>
      <w:r w:rsidR="00C806F9">
        <w:rPr>
          <w:rFonts w:ascii="Arial" w:hAnsi="Arial" w:cs="Arial"/>
          <w:color w:val="222222"/>
        </w:rPr>
        <w:t xml:space="preserve">"Spatial planning for fisheries in the Northern Adriatic: working toward viable and sustainable fishing." </w:t>
      </w:r>
      <w:r w:rsidR="00C806F9">
        <w:rPr>
          <w:rFonts w:ascii="Arial" w:hAnsi="Arial" w:cs="Arial"/>
          <w:i/>
          <w:iCs/>
          <w:color w:val="222222"/>
        </w:rPr>
        <w:t>Ecosphere</w:t>
      </w:r>
      <w:r w:rsidR="00C806F9">
        <w:rPr>
          <w:rFonts w:ascii="Arial" w:hAnsi="Arial" w:cs="Arial"/>
          <w:color w:val="222222"/>
        </w:rPr>
        <w:t xml:space="preserve"> 8, no. 2 (2017).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BC0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4340D"/>
    <w:multiLevelType w:val="multilevel"/>
    <w:tmpl w:val="3C388ACA"/>
    <w:lvl w:ilvl="0">
      <w:start w:val="1"/>
      <w:numFmt w:val="decimal"/>
      <w:lvlText w:val="%1."/>
      <w:lvlJc w:val="left"/>
      <w:rPr>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start w:val="1"/>
      <w:numFmt w:val="lowerRoman"/>
      <w:lvlText w:val="%4."/>
      <w:lvlJc w:val="righ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4171C"/>
    <w:multiLevelType w:val="hybridMultilevel"/>
    <w:tmpl w:val="66321CD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49F7687"/>
    <w:multiLevelType w:val="hybridMultilevel"/>
    <w:tmpl w:val="BFB04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93AAC"/>
    <w:multiLevelType w:val="hybridMultilevel"/>
    <w:tmpl w:val="7630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635"/>
    <w:multiLevelType w:val="hybridMultilevel"/>
    <w:tmpl w:val="883024F0"/>
    <w:lvl w:ilvl="0" w:tplc="40BE0CA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33064"/>
    <w:multiLevelType w:val="hybridMultilevel"/>
    <w:tmpl w:val="F80CA0B0"/>
    <w:lvl w:ilvl="0" w:tplc="747E8C68">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E3A27"/>
    <w:multiLevelType w:val="hybridMultilevel"/>
    <w:tmpl w:val="658AC6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12CC1"/>
    <w:multiLevelType w:val="multilevel"/>
    <w:tmpl w:val="4922FE40"/>
    <w:lvl w:ilvl="0">
      <w:start w:val="1"/>
      <w:numFmt w:val="decimal"/>
      <w:lvlText w:val="%1)"/>
      <w:lvlJc w:val="left"/>
      <w:pPr>
        <w:ind w:left="360" w:hanging="360"/>
      </w:p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5B4EFB"/>
    <w:multiLevelType w:val="multilevel"/>
    <w:tmpl w:val="7A4AE8BA"/>
    <w:lvl w:ilvl="0">
      <w:start w:val="1"/>
      <w:numFmt w:val="decimal"/>
      <w:lvlText w:val="%1."/>
      <w:lvlJc w:val="left"/>
      <w:rPr>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C7003C"/>
    <w:multiLevelType w:val="multilevel"/>
    <w:tmpl w:val="5FCECC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start w:val="1"/>
      <w:numFmt w:val="lowerRoman"/>
      <w:lvlText w:val="%2."/>
      <w:lvlJc w:val="righ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11" w15:restartNumberingAfterBreak="0">
    <w:nsid w:val="1F361857"/>
    <w:multiLevelType w:val="hybridMultilevel"/>
    <w:tmpl w:val="5AFAA93E"/>
    <w:lvl w:ilvl="0" w:tplc="6096B35E">
      <w:start w:val="1"/>
      <w:numFmt w:val="lowerLetter"/>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3DF5277"/>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3" w15:restartNumberingAfterBreak="0">
    <w:nsid w:val="25892086"/>
    <w:multiLevelType w:val="multilevel"/>
    <w:tmpl w:val="BD088F80"/>
    <w:lvl w:ilvl="0">
      <w:start w:val="1"/>
      <w:numFmt w:val="decimal"/>
      <w:lvlText w:val="%1)"/>
      <w:lvlJc w:val="left"/>
      <w:pPr>
        <w:ind w:left="360" w:hanging="360"/>
      </w:p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24016E"/>
    <w:multiLevelType w:val="hybridMultilevel"/>
    <w:tmpl w:val="1744EE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4C01AA"/>
    <w:multiLevelType w:val="hybridMultilevel"/>
    <w:tmpl w:val="219267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076610F"/>
    <w:multiLevelType w:val="multilevel"/>
    <w:tmpl w:val="3162EAD8"/>
    <w:lvl w:ilvl="0">
      <w:start w:val="1"/>
      <w:numFmt w:val="bullet"/>
      <w:lvlText w:val=""/>
      <w:lvlJc w:val="left"/>
      <w:pPr>
        <w:ind w:left="108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317759B9"/>
    <w:multiLevelType w:val="multilevel"/>
    <w:tmpl w:val="CF161BCA"/>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772B3D"/>
    <w:multiLevelType w:val="multilevel"/>
    <w:tmpl w:val="F800B28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34862730"/>
    <w:multiLevelType w:val="hybridMultilevel"/>
    <w:tmpl w:val="E9A4CC28"/>
    <w:lvl w:ilvl="0" w:tplc="A928E3F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31D8B"/>
    <w:multiLevelType w:val="multilevel"/>
    <w:tmpl w:val="43323A58"/>
    <w:lvl w:ilvl="0">
      <w:start w:val="10"/>
      <w:numFmt w:val="decimal"/>
      <w:lvlText w:val="%1"/>
      <w:lvlJc w:val="left"/>
      <w:pPr>
        <w:tabs>
          <w:tab w:val="num" w:pos="540"/>
        </w:tabs>
        <w:ind w:left="540" w:hanging="540"/>
      </w:pPr>
      <w:rPr>
        <w:rFonts w:hint="default"/>
      </w:rPr>
    </w:lvl>
    <w:lvl w:ilvl="1">
      <w:start w:val="4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38535B"/>
    <w:multiLevelType w:val="hybridMultilevel"/>
    <w:tmpl w:val="07A48E94"/>
    <w:lvl w:ilvl="0" w:tplc="1738194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F7151"/>
    <w:multiLevelType w:val="hybridMultilevel"/>
    <w:tmpl w:val="24728BD0"/>
    <w:lvl w:ilvl="0" w:tplc="40BE0CA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D41F1"/>
    <w:multiLevelType w:val="hybridMultilevel"/>
    <w:tmpl w:val="D95AE3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3F109A3"/>
    <w:multiLevelType w:val="multilevel"/>
    <w:tmpl w:val="6834EB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25" w15:restartNumberingAfterBreak="0">
    <w:nsid w:val="55765D68"/>
    <w:multiLevelType w:val="hybridMultilevel"/>
    <w:tmpl w:val="83B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523"/>
    <w:multiLevelType w:val="multilevel"/>
    <w:tmpl w:val="6DA0EE3A"/>
    <w:lvl w:ilvl="0">
      <w:start w:val="1"/>
      <w:numFmt w:val="decimal"/>
      <w:lvlText w:val="%1."/>
      <w:lvlJc w:val="left"/>
      <w:rPr>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004348"/>
    <w:multiLevelType w:val="hybridMultilevel"/>
    <w:tmpl w:val="2AF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D0F1F"/>
    <w:multiLevelType w:val="hybridMultilevel"/>
    <w:tmpl w:val="8FF05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F1780"/>
    <w:multiLevelType w:val="hybridMultilevel"/>
    <w:tmpl w:val="99DE69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4FD196B"/>
    <w:multiLevelType w:val="hybridMultilevel"/>
    <w:tmpl w:val="3972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620E9"/>
    <w:multiLevelType w:val="hybridMultilevel"/>
    <w:tmpl w:val="6C42A4DE"/>
    <w:lvl w:ilvl="0" w:tplc="B0FAF728">
      <w:start w:val="1"/>
      <w:numFmt w:val="decimal"/>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751180"/>
    <w:multiLevelType w:val="hybridMultilevel"/>
    <w:tmpl w:val="308E1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9550D8"/>
    <w:multiLevelType w:val="multilevel"/>
    <w:tmpl w:val="6834EB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34" w15:restartNumberingAfterBreak="0">
    <w:nsid w:val="72AD14FC"/>
    <w:multiLevelType w:val="multilevel"/>
    <w:tmpl w:val="745EB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86521C"/>
    <w:multiLevelType w:val="hybridMultilevel"/>
    <w:tmpl w:val="5C0CBC02"/>
    <w:lvl w:ilvl="0" w:tplc="1738194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86B0D"/>
    <w:multiLevelType w:val="hybridMultilevel"/>
    <w:tmpl w:val="2F42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17"/>
  </w:num>
  <w:num w:numId="5">
    <w:abstractNumId w:val="20"/>
  </w:num>
  <w:num w:numId="6">
    <w:abstractNumId w:val="5"/>
  </w:num>
  <w:num w:numId="7">
    <w:abstractNumId w:val="22"/>
  </w:num>
  <w:num w:numId="8">
    <w:abstractNumId w:val="3"/>
  </w:num>
  <w:num w:numId="9">
    <w:abstractNumId w:val="2"/>
  </w:num>
  <w:num w:numId="10">
    <w:abstractNumId w:val="14"/>
  </w:num>
  <w:num w:numId="11">
    <w:abstractNumId w:val="6"/>
  </w:num>
  <w:num w:numId="12">
    <w:abstractNumId w:val="4"/>
  </w:num>
  <w:num w:numId="13">
    <w:abstractNumId w:val="12"/>
  </w:num>
  <w:num w:numId="14">
    <w:abstractNumId w:val="4"/>
  </w:num>
  <w:num w:numId="15">
    <w:abstractNumId w:val="0"/>
  </w:num>
  <w:num w:numId="16">
    <w:abstractNumId w:val="35"/>
  </w:num>
  <w:num w:numId="17">
    <w:abstractNumId w:val="31"/>
  </w:num>
  <w:num w:numId="18">
    <w:abstractNumId w:val="21"/>
  </w:num>
  <w:num w:numId="19">
    <w:abstractNumId w:val="13"/>
  </w:num>
  <w:num w:numId="20">
    <w:abstractNumId w:val="8"/>
  </w:num>
  <w:num w:numId="21">
    <w:abstractNumId w:val="16"/>
  </w:num>
  <w:num w:numId="22">
    <w:abstractNumId w:val="16"/>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0"/>
  </w:num>
  <w:num w:numId="27">
    <w:abstractNumId w:val="32"/>
  </w:num>
  <w:num w:numId="28">
    <w:abstractNumId w:val="29"/>
  </w:num>
  <w:num w:numId="29">
    <w:abstractNumId w:val="27"/>
  </w:num>
  <w:num w:numId="30">
    <w:abstractNumId w:val="36"/>
  </w:num>
  <w:num w:numId="31">
    <w:abstractNumId w:val="33"/>
  </w:num>
  <w:num w:numId="32">
    <w:abstractNumId w:val="34"/>
  </w:num>
  <w:num w:numId="33">
    <w:abstractNumId w:val="9"/>
  </w:num>
  <w:num w:numId="34">
    <w:abstractNumId w:val="28"/>
  </w:num>
  <w:num w:numId="35">
    <w:abstractNumId w:val="24"/>
  </w:num>
  <w:num w:numId="36">
    <w:abstractNumId w:val="18"/>
  </w:num>
  <w:num w:numId="37">
    <w:abstractNumId w:val="7"/>
  </w:num>
  <w:num w:numId="38">
    <w:abstractNumId w:val="26"/>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E729EB"/>
    <w:rsid w:val="0000213C"/>
    <w:rsid w:val="00003059"/>
    <w:rsid w:val="00007121"/>
    <w:rsid w:val="000109E2"/>
    <w:rsid w:val="00012FED"/>
    <w:rsid w:val="00015970"/>
    <w:rsid w:val="00021614"/>
    <w:rsid w:val="000303DC"/>
    <w:rsid w:val="00033348"/>
    <w:rsid w:val="00033E7A"/>
    <w:rsid w:val="00035719"/>
    <w:rsid w:val="0003580A"/>
    <w:rsid w:val="000368E5"/>
    <w:rsid w:val="00041B29"/>
    <w:rsid w:val="00041F71"/>
    <w:rsid w:val="000432F5"/>
    <w:rsid w:val="000452F4"/>
    <w:rsid w:val="000458A0"/>
    <w:rsid w:val="0005100E"/>
    <w:rsid w:val="00052223"/>
    <w:rsid w:val="000535DF"/>
    <w:rsid w:val="00056DDE"/>
    <w:rsid w:val="00060A35"/>
    <w:rsid w:val="00063926"/>
    <w:rsid w:val="000653E0"/>
    <w:rsid w:val="00070FBC"/>
    <w:rsid w:val="000718B9"/>
    <w:rsid w:val="00080AB5"/>
    <w:rsid w:val="00085BDE"/>
    <w:rsid w:val="000865A8"/>
    <w:rsid w:val="000878B0"/>
    <w:rsid w:val="00087EFE"/>
    <w:rsid w:val="000923B1"/>
    <w:rsid w:val="0009411E"/>
    <w:rsid w:val="0009646B"/>
    <w:rsid w:val="000A380B"/>
    <w:rsid w:val="000A53C4"/>
    <w:rsid w:val="000B2CBD"/>
    <w:rsid w:val="000B666F"/>
    <w:rsid w:val="000C031E"/>
    <w:rsid w:val="000C1C2D"/>
    <w:rsid w:val="000C496D"/>
    <w:rsid w:val="000C5CCF"/>
    <w:rsid w:val="000D1D1C"/>
    <w:rsid w:val="000D6EE7"/>
    <w:rsid w:val="000E0E51"/>
    <w:rsid w:val="000E1F00"/>
    <w:rsid w:val="000E4D1B"/>
    <w:rsid w:val="000E7EC7"/>
    <w:rsid w:val="000F04E5"/>
    <w:rsid w:val="000F240B"/>
    <w:rsid w:val="000F2E7E"/>
    <w:rsid w:val="000F693C"/>
    <w:rsid w:val="00101486"/>
    <w:rsid w:val="001015A9"/>
    <w:rsid w:val="00104A8E"/>
    <w:rsid w:val="00105705"/>
    <w:rsid w:val="0011089F"/>
    <w:rsid w:val="00110C1F"/>
    <w:rsid w:val="00111855"/>
    <w:rsid w:val="00117FB3"/>
    <w:rsid w:val="001219FF"/>
    <w:rsid w:val="00127F7D"/>
    <w:rsid w:val="0013584A"/>
    <w:rsid w:val="00143B7D"/>
    <w:rsid w:val="00150AF1"/>
    <w:rsid w:val="00153CA2"/>
    <w:rsid w:val="00154069"/>
    <w:rsid w:val="00154921"/>
    <w:rsid w:val="00160FCF"/>
    <w:rsid w:val="00163AC9"/>
    <w:rsid w:val="00170E11"/>
    <w:rsid w:val="0017629A"/>
    <w:rsid w:val="00176F08"/>
    <w:rsid w:val="001778A7"/>
    <w:rsid w:val="00180B8A"/>
    <w:rsid w:val="0018340C"/>
    <w:rsid w:val="0018570B"/>
    <w:rsid w:val="001942F6"/>
    <w:rsid w:val="00194834"/>
    <w:rsid w:val="00197C07"/>
    <w:rsid w:val="001A21E5"/>
    <w:rsid w:val="001A4CD8"/>
    <w:rsid w:val="001B20A5"/>
    <w:rsid w:val="001B2FC2"/>
    <w:rsid w:val="001B33BD"/>
    <w:rsid w:val="001B34FD"/>
    <w:rsid w:val="001B36CB"/>
    <w:rsid w:val="001B3AFD"/>
    <w:rsid w:val="001B62E9"/>
    <w:rsid w:val="001C3B5F"/>
    <w:rsid w:val="001D5935"/>
    <w:rsid w:val="001D75FA"/>
    <w:rsid w:val="001E0C7B"/>
    <w:rsid w:val="001E3842"/>
    <w:rsid w:val="001E3AF1"/>
    <w:rsid w:val="001E3F0C"/>
    <w:rsid w:val="001F64AA"/>
    <w:rsid w:val="0020002D"/>
    <w:rsid w:val="002054D7"/>
    <w:rsid w:val="00207DB1"/>
    <w:rsid w:val="00207E54"/>
    <w:rsid w:val="002102F7"/>
    <w:rsid w:val="00210D43"/>
    <w:rsid w:val="002148AC"/>
    <w:rsid w:val="0021558A"/>
    <w:rsid w:val="00222457"/>
    <w:rsid w:val="00223322"/>
    <w:rsid w:val="00225688"/>
    <w:rsid w:val="00230B45"/>
    <w:rsid w:val="00232F79"/>
    <w:rsid w:val="002331AA"/>
    <w:rsid w:val="00234750"/>
    <w:rsid w:val="002350E6"/>
    <w:rsid w:val="002360FA"/>
    <w:rsid w:val="00240A5E"/>
    <w:rsid w:val="002442DC"/>
    <w:rsid w:val="0025256A"/>
    <w:rsid w:val="002535DD"/>
    <w:rsid w:val="002548E5"/>
    <w:rsid w:val="00262836"/>
    <w:rsid w:val="0026422A"/>
    <w:rsid w:val="00265321"/>
    <w:rsid w:val="0027063C"/>
    <w:rsid w:val="002737B7"/>
    <w:rsid w:val="00282203"/>
    <w:rsid w:val="00282C80"/>
    <w:rsid w:val="0028421E"/>
    <w:rsid w:val="002923A1"/>
    <w:rsid w:val="002A1873"/>
    <w:rsid w:val="002A44EA"/>
    <w:rsid w:val="002A60CC"/>
    <w:rsid w:val="002A7B65"/>
    <w:rsid w:val="002B08A1"/>
    <w:rsid w:val="002B7AB2"/>
    <w:rsid w:val="002B7B29"/>
    <w:rsid w:val="002C021D"/>
    <w:rsid w:val="002C0BD5"/>
    <w:rsid w:val="002C414D"/>
    <w:rsid w:val="002D0D70"/>
    <w:rsid w:val="002D1BA5"/>
    <w:rsid w:val="002D2CB0"/>
    <w:rsid w:val="002D5BE9"/>
    <w:rsid w:val="002E0D92"/>
    <w:rsid w:val="002E286E"/>
    <w:rsid w:val="002E45EF"/>
    <w:rsid w:val="002E7795"/>
    <w:rsid w:val="00311A05"/>
    <w:rsid w:val="00316700"/>
    <w:rsid w:val="00317160"/>
    <w:rsid w:val="003176BD"/>
    <w:rsid w:val="0032496C"/>
    <w:rsid w:val="00325F8C"/>
    <w:rsid w:val="00326045"/>
    <w:rsid w:val="003306DE"/>
    <w:rsid w:val="00337FDE"/>
    <w:rsid w:val="00344062"/>
    <w:rsid w:val="0034605C"/>
    <w:rsid w:val="00356AB8"/>
    <w:rsid w:val="0036125A"/>
    <w:rsid w:val="00374398"/>
    <w:rsid w:val="003769DC"/>
    <w:rsid w:val="00376A3F"/>
    <w:rsid w:val="00376F53"/>
    <w:rsid w:val="003833D4"/>
    <w:rsid w:val="00393332"/>
    <w:rsid w:val="00393B56"/>
    <w:rsid w:val="003A0AAD"/>
    <w:rsid w:val="003A6BB4"/>
    <w:rsid w:val="003A7F4B"/>
    <w:rsid w:val="003B1732"/>
    <w:rsid w:val="003B2578"/>
    <w:rsid w:val="003B26B5"/>
    <w:rsid w:val="003C1C8C"/>
    <w:rsid w:val="003D2D47"/>
    <w:rsid w:val="003D577C"/>
    <w:rsid w:val="003E01C9"/>
    <w:rsid w:val="003E4041"/>
    <w:rsid w:val="003E6FFD"/>
    <w:rsid w:val="003F1EA5"/>
    <w:rsid w:val="003F2470"/>
    <w:rsid w:val="003F2B8F"/>
    <w:rsid w:val="003F4422"/>
    <w:rsid w:val="003F5F77"/>
    <w:rsid w:val="003F6D45"/>
    <w:rsid w:val="0041121B"/>
    <w:rsid w:val="004136F4"/>
    <w:rsid w:val="004174CD"/>
    <w:rsid w:val="00430A1B"/>
    <w:rsid w:val="004363C0"/>
    <w:rsid w:val="00437881"/>
    <w:rsid w:val="004407BD"/>
    <w:rsid w:val="00443F57"/>
    <w:rsid w:val="004532D3"/>
    <w:rsid w:val="00460BE8"/>
    <w:rsid w:val="004846FD"/>
    <w:rsid w:val="0048493D"/>
    <w:rsid w:val="00486B0F"/>
    <w:rsid w:val="0049207A"/>
    <w:rsid w:val="00494193"/>
    <w:rsid w:val="004A299B"/>
    <w:rsid w:val="004A3A6A"/>
    <w:rsid w:val="004A468A"/>
    <w:rsid w:val="004B1955"/>
    <w:rsid w:val="004B3285"/>
    <w:rsid w:val="004B4A99"/>
    <w:rsid w:val="004B7616"/>
    <w:rsid w:val="004C0D2E"/>
    <w:rsid w:val="004C3503"/>
    <w:rsid w:val="004C4A57"/>
    <w:rsid w:val="004C51F4"/>
    <w:rsid w:val="004D066F"/>
    <w:rsid w:val="004D216E"/>
    <w:rsid w:val="004D301B"/>
    <w:rsid w:val="004D361B"/>
    <w:rsid w:val="004D477D"/>
    <w:rsid w:val="004D47E0"/>
    <w:rsid w:val="004E4B9F"/>
    <w:rsid w:val="004F4B8F"/>
    <w:rsid w:val="0050275A"/>
    <w:rsid w:val="0050287A"/>
    <w:rsid w:val="005050C8"/>
    <w:rsid w:val="005204C0"/>
    <w:rsid w:val="005231EB"/>
    <w:rsid w:val="00523CF7"/>
    <w:rsid w:val="00536EEF"/>
    <w:rsid w:val="00542D46"/>
    <w:rsid w:val="00543F70"/>
    <w:rsid w:val="005451A5"/>
    <w:rsid w:val="00545CBE"/>
    <w:rsid w:val="00550942"/>
    <w:rsid w:val="00556545"/>
    <w:rsid w:val="00557451"/>
    <w:rsid w:val="005609CA"/>
    <w:rsid w:val="0056515C"/>
    <w:rsid w:val="005653E4"/>
    <w:rsid w:val="0057166F"/>
    <w:rsid w:val="005716C6"/>
    <w:rsid w:val="005739B4"/>
    <w:rsid w:val="005752A7"/>
    <w:rsid w:val="005771CC"/>
    <w:rsid w:val="00577DC7"/>
    <w:rsid w:val="00582AD6"/>
    <w:rsid w:val="005856BC"/>
    <w:rsid w:val="00594645"/>
    <w:rsid w:val="0059536E"/>
    <w:rsid w:val="0059613E"/>
    <w:rsid w:val="00597281"/>
    <w:rsid w:val="005974A1"/>
    <w:rsid w:val="005A1F21"/>
    <w:rsid w:val="005A4AE7"/>
    <w:rsid w:val="005A7031"/>
    <w:rsid w:val="005B37BD"/>
    <w:rsid w:val="005C2025"/>
    <w:rsid w:val="005C30FC"/>
    <w:rsid w:val="005C401B"/>
    <w:rsid w:val="005C498D"/>
    <w:rsid w:val="005D0A77"/>
    <w:rsid w:val="005D0CE3"/>
    <w:rsid w:val="005D4089"/>
    <w:rsid w:val="005D7083"/>
    <w:rsid w:val="005E134B"/>
    <w:rsid w:val="005E474C"/>
    <w:rsid w:val="005E60F6"/>
    <w:rsid w:val="005E64FC"/>
    <w:rsid w:val="005E6669"/>
    <w:rsid w:val="005F03B4"/>
    <w:rsid w:val="005F47A2"/>
    <w:rsid w:val="005F5095"/>
    <w:rsid w:val="005F555C"/>
    <w:rsid w:val="005F727A"/>
    <w:rsid w:val="0060031D"/>
    <w:rsid w:val="006127FA"/>
    <w:rsid w:val="006130F0"/>
    <w:rsid w:val="006140EA"/>
    <w:rsid w:val="00614CC3"/>
    <w:rsid w:val="00621920"/>
    <w:rsid w:val="00624C06"/>
    <w:rsid w:val="006257FD"/>
    <w:rsid w:val="006263F1"/>
    <w:rsid w:val="00627B41"/>
    <w:rsid w:val="00627EEA"/>
    <w:rsid w:val="00632686"/>
    <w:rsid w:val="006358AA"/>
    <w:rsid w:val="006372AE"/>
    <w:rsid w:val="0064272D"/>
    <w:rsid w:val="00643A57"/>
    <w:rsid w:val="00644148"/>
    <w:rsid w:val="0064488C"/>
    <w:rsid w:val="00644FA9"/>
    <w:rsid w:val="006453C5"/>
    <w:rsid w:val="00646477"/>
    <w:rsid w:val="00646D90"/>
    <w:rsid w:val="0064733A"/>
    <w:rsid w:val="006474EE"/>
    <w:rsid w:val="006526B3"/>
    <w:rsid w:val="00655A68"/>
    <w:rsid w:val="00656938"/>
    <w:rsid w:val="006627F5"/>
    <w:rsid w:val="00666859"/>
    <w:rsid w:val="00673F62"/>
    <w:rsid w:val="00674A2B"/>
    <w:rsid w:val="00676908"/>
    <w:rsid w:val="00676B9B"/>
    <w:rsid w:val="00676F3B"/>
    <w:rsid w:val="00677ABD"/>
    <w:rsid w:val="00681F81"/>
    <w:rsid w:val="00684DBD"/>
    <w:rsid w:val="00692D46"/>
    <w:rsid w:val="006A0D70"/>
    <w:rsid w:val="006A2903"/>
    <w:rsid w:val="006A6683"/>
    <w:rsid w:val="006A6BB9"/>
    <w:rsid w:val="006A7A66"/>
    <w:rsid w:val="006B6B6B"/>
    <w:rsid w:val="006B6E41"/>
    <w:rsid w:val="006C2987"/>
    <w:rsid w:val="006C2C81"/>
    <w:rsid w:val="006C32FC"/>
    <w:rsid w:val="006C355E"/>
    <w:rsid w:val="006C414B"/>
    <w:rsid w:val="006C752A"/>
    <w:rsid w:val="006D1374"/>
    <w:rsid w:val="006D1E6B"/>
    <w:rsid w:val="006D2242"/>
    <w:rsid w:val="006E0C0B"/>
    <w:rsid w:val="006E4141"/>
    <w:rsid w:val="006E4D05"/>
    <w:rsid w:val="006F4997"/>
    <w:rsid w:val="006F49B0"/>
    <w:rsid w:val="006F59F6"/>
    <w:rsid w:val="007102EE"/>
    <w:rsid w:val="007123B8"/>
    <w:rsid w:val="00715CAF"/>
    <w:rsid w:val="00717518"/>
    <w:rsid w:val="007243B5"/>
    <w:rsid w:val="00724F83"/>
    <w:rsid w:val="007340A5"/>
    <w:rsid w:val="00740219"/>
    <w:rsid w:val="007422E3"/>
    <w:rsid w:val="00751045"/>
    <w:rsid w:val="007523DE"/>
    <w:rsid w:val="007601C3"/>
    <w:rsid w:val="00761C09"/>
    <w:rsid w:val="00762A43"/>
    <w:rsid w:val="007759E4"/>
    <w:rsid w:val="00776987"/>
    <w:rsid w:val="00786894"/>
    <w:rsid w:val="007876FB"/>
    <w:rsid w:val="00793FB3"/>
    <w:rsid w:val="007967B1"/>
    <w:rsid w:val="007A14FE"/>
    <w:rsid w:val="007A406E"/>
    <w:rsid w:val="007A5821"/>
    <w:rsid w:val="007B3A96"/>
    <w:rsid w:val="007B6ABA"/>
    <w:rsid w:val="007B7924"/>
    <w:rsid w:val="007C0FB1"/>
    <w:rsid w:val="007C5672"/>
    <w:rsid w:val="007C67FA"/>
    <w:rsid w:val="007D0EFD"/>
    <w:rsid w:val="007E043C"/>
    <w:rsid w:val="007E3A80"/>
    <w:rsid w:val="007E52F2"/>
    <w:rsid w:val="007F195A"/>
    <w:rsid w:val="007F2B31"/>
    <w:rsid w:val="007F394B"/>
    <w:rsid w:val="007F619D"/>
    <w:rsid w:val="007F6641"/>
    <w:rsid w:val="00812024"/>
    <w:rsid w:val="00813BA5"/>
    <w:rsid w:val="00813E3F"/>
    <w:rsid w:val="00822D7D"/>
    <w:rsid w:val="00823CE6"/>
    <w:rsid w:val="008268A2"/>
    <w:rsid w:val="008317B8"/>
    <w:rsid w:val="00837732"/>
    <w:rsid w:val="00840DF4"/>
    <w:rsid w:val="00844020"/>
    <w:rsid w:val="00846ABB"/>
    <w:rsid w:val="00850283"/>
    <w:rsid w:val="00851AF1"/>
    <w:rsid w:val="008546CF"/>
    <w:rsid w:val="008566F2"/>
    <w:rsid w:val="0086056C"/>
    <w:rsid w:val="00867448"/>
    <w:rsid w:val="00867AA9"/>
    <w:rsid w:val="00870030"/>
    <w:rsid w:val="00871A82"/>
    <w:rsid w:val="0087248C"/>
    <w:rsid w:val="00876AE3"/>
    <w:rsid w:val="008817F5"/>
    <w:rsid w:val="00883855"/>
    <w:rsid w:val="00883B00"/>
    <w:rsid w:val="0088525D"/>
    <w:rsid w:val="008868CF"/>
    <w:rsid w:val="00887422"/>
    <w:rsid w:val="0088789B"/>
    <w:rsid w:val="008972D2"/>
    <w:rsid w:val="008A06D9"/>
    <w:rsid w:val="008A1D94"/>
    <w:rsid w:val="008A263C"/>
    <w:rsid w:val="008A2CAC"/>
    <w:rsid w:val="008A4157"/>
    <w:rsid w:val="008A4938"/>
    <w:rsid w:val="008B1332"/>
    <w:rsid w:val="008B1555"/>
    <w:rsid w:val="008B427F"/>
    <w:rsid w:val="008C474E"/>
    <w:rsid w:val="008C60E7"/>
    <w:rsid w:val="008D0CB2"/>
    <w:rsid w:val="008E2919"/>
    <w:rsid w:val="008E6896"/>
    <w:rsid w:val="008F1922"/>
    <w:rsid w:val="008F6E67"/>
    <w:rsid w:val="008F7EBD"/>
    <w:rsid w:val="00901A30"/>
    <w:rsid w:val="00902C5C"/>
    <w:rsid w:val="00902D6B"/>
    <w:rsid w:val="0090389F"/>
    <w:rsid w:val="00904253"/>
    <w:rsid w:val="00905806"/>
    <w:rsid w:val="00905984"/>
    <w:rsid w:val="009129C0"/>
    <w:rsid w:val="00913F8A"/>
    <w:rsid w:val="00915A9B"/>
    <w:rsid w:val="00917993"/>
    <w:rsid w:val="009216DF"/>
    <w:rsid w:val="009264E6"/>
    <w:rsid w:val="00927B9C"/>
    <w:rsid w:val="00935250"/>
    <w:rsid w:val="009379CC"/>
    <w:rsid w:val="0094312B"/>
    <w:rsid w:val="00945175"/>
    <w:rsid w:val="00947E57"/>
    <w:rsid w:val="00947EF6"/>
    <w:rsid w:val="009548A8"/>
    <w:rsid w:val="00955755"/>
    <w:rsid w:val="0097138F"/>
    <w:rsid w:val="00972F65"/>
    <w:rsid w:val="00974C96"/>
    <w:rsid w:val="009754E1"/>
    <w:rsid w:val="0097636A"/>
    <w:rsid w:val="009778E1"/>
    <w:rsid w:val="00982BCE"/>
    <w:rsid w:val="00983EA0"/>
    <w:rsid w:val="0098440C"/>
    <w:rsid w:val="0099251D"/>
    <w:rsid w:val="009933E9"/>
    <w:rsid w:val="00994D09"/>
    <w:rsid w:val="009A0CA1"/>
    <w:rsid w:val="009B3B40"/>
    <w:rsid w:val="009B4F9F"/>
    <w:rsid w:val="009B6709"/>
    <w:rsid w:val="009C17E5"/>
    <w:rsid w:val="009C385D"/>
    <w:rsid w:val="009C584F"/>
    <w:rsid w:val="009C65FA"/>
    <w:rsid w:val="009D2D83"/>
    <w:rsid w:val="009D7F0E"/>
    <w:rsid w:val="009E0CC6"/>
    <w:rsid w:val="009E1A8C"/>
    <w:rsid w:val="009E423D"/>
    <w:rsid w:val="009F0420"/>
    <w:rsid w:val="009F2918"/>
    <w:rsid w:val="009F3470"/>
    <w:rsid w:val="009F5714"/>
    <w:rsid w:val="009F5E76"/>
    <w:rsid w:val="009F6A9B"/>
    <w:rsid w:val="00A012A8"/>
    <w:rsid w:val="00A03C71"/>
    <w:rsid w:val="00A06929"/>
    <w:rsid w:val="00A15BAD"/>
    <w:rsid w:val="00A176B6"/>
    <w:rsid w:val="00A17CB1"/>
    <w:rsid w:val="00A23E6F"/>
    <w:rsid w:val="00A3344C"/>
    <w:rsid w:val="00A33A1A"/>
    <w:rsid w:val="00A40B3B"/>
    <w:rsid w:val="00A46F22"/>
    <w:rsid w:val="00A60566"/>
    <w:rsid w:val="00A61AA9"/>
    <w:rsid w:val="00A64410"/>
    <w:rsid w:val="00A66137"/>
    <w:rsid w:val="00A7025D"/>
    <w:rsid w:val="00A73573"/>
    <w:rsid w:val="00A73A69"/>
    <w:rsid w:val="00A76A6C"/>
    <w:rsid w:val="00A802AA"/>
    <w:rsid w:val="00A80EA0"/>
    <w:rsid w:val="00A81B43"/>
    <w:rsid w:val="00A85499"/>
    <w:rsid w:val="00A86688"/>
    <w:rsid w:val="00AA1AB3"/>
    <w:rsid w:val="00AA2A5A"/>
    <w:rsid w:val="00AA6187"/>
    <w:rsid w:val="00AA7DE9"/>
    <w:rsid w:val="00AB2A7E"/>
    <w:rsid w:val="00AB40E5"/>
    <w:rsid w:val="00AB48AA"/>
    <w:rsid w:val="00AB4EE3"/>
    <w:rsid w:val="00AB64BC"/>
    <w:rsid w:val="00AB6CFD"/>
    <w:rsid w:val="00AC3B44"/>
    <w:rsid w:val="00AC5BEF"/>
    <w:rsid w:val="00AD0868"/>
    <w:rsid w:val="00AD124F"/>
    <w:rsid w:val="00AD16B4"/>
    <w:rsid w:val="00AD18AE"/>
    <w:rsid w:val="00AD463B"/>
    <w:rsid w:val="00AE3B42"/>
    <w:rsid w:val="00AE5144"/>
    <w:rsid w:val="00AF1FDB"/>
    <w:rsid w:val="00AF2F3B"/>
    <w:rsid w:val="00AF7AFE"/>
    <w:rsid w:val="00B0168C"/>
    <w:rsid w:val="00B06D13"/>
    <w:rsid w:val="00B07BC2"/>
    <w:rsid w:val="00B17E7F"/>
    <w:rsid w:val="00B2025D"/>
    <w:rsid w:val="00B244F6"/>
    <w:rsid w:val="00B245FE"/>
    <w:rsid w:val="00B273E7"/>
    <w:rsid w:val="00B3249D"/>
    <w:rsid w:val="00B32B14"/>
    <w:rsid w:val="00B3363E"/>
    <w:rsid w:val="00B336CE"/>
    <w:rsid w:val="00B34F25"/>
    <w:rsid w:val="00B355E4"/>
    <w:rsid w:val="00B370C7"/>
    <w:rsid w:val="00B40919"/>
    <w:rsid w:val="00B40995"/>
    <w:rsid w:val="00B411A3"/>
    <w:rsid w:val="00B50B4C"/>
    <w:rsid w:val="00B52E5B"/>
    <w:rsid w:val="00B611A9"/>
    <w:rsid w:val="00B624BA"/>
    <w:rsid w:val="00B6577C"/>
    <w:rsid w:val="00B72A09"/>
    <w:rsid w:val="00B765A1"/>
    <w:rsid w:val="00B7666F"/>
    <w:rsid w:val="00B77FDF"/>
    <w:rsid w:val="00B926BD"/>
    <w:rsid w:val="00B946B8"/>
    <w:rsid w:val="00B97556"/>
    <w:rsid w:val="00B97CC1"/>
    <w:rsid w:val="00B97FED"/>
    <w:rsid w:val="00BA2C8F"/>
    <w:rsid w:val="00BA31D3"/>
    <w:rsid w:val="00BB2BF3"/>
    <w:rsid w:val="00BB5F8F"/>
    <w:rsid w:val="00BC5609"/>
    <w:rsid w:val="00BD4BD5"/>
    <w:rsid w:val="00BD71FC"/>
    <w:rsid w:val="00BE249E"/>
    <w:rsid w:val="00BE3547"/>
    <w:rsid w:val="00BF25BE"/>
    <w:rsid w:val="00BF2C61"/>
    <w:rsid w:val="00C03244"/>
    <w:rsid w:val="00C03734"/>
    <w:rsid w:val="00C05CD6"/>
    <w:rsid w:val="00C104C0"/>
    <w:rsid w:val="00C15EAC"/>
    <w:rsid w:val="00C2057E"/>
    <w:rsid w:val="00C22A3B"/>
    <w:rsid w:val="00C236CC"/>
    <w:rsid w:val="00C25460"/>
    <w:rsid w:val="00C26277"/>
    <w:rsid w:val="00C27255"/>
    <w:rsid w:val="00C356CC"/>
    <w:rsid w:val="00C35D45"/>
    <w:rsid w:val="00C47626"/>
    <w:rsid w:val="00C51B35"/>
    <w:rsid w:val="00C52E39"/>
    <w:rsid w:val="00C65F27"/>
    <w:rsid w:val="00C71893"/>
    <w:rsid w:val="00C72033"/>
    <w:rsid w:val="00C76A33"/>
    <w:rsid w:val="00C806F9"/>
    <w:rsid w:val="00C91C91"/>
    <w:rsid w:val="00C929BF"/>
    <w:rsid w:val="00C9379F"/>
    <w:rsid w:val="00C96D42"/>
    <w:rsid w:val="00CA0CF7"/>
    <w:rsid w:val="00CA2A74"/>
    <w:rsid w:val="00CA3E24"/>
    <w:rsid w:val="00CA6B31"/>
    <w:rsid w:val="00CB282C"/>
    <w:rsid w:val="00CB7979"/>
    <w:rsid w:val="00CC1665"/>
    <w:rsid w:val="00CD0896"/>
    <w:rsid w:val="00CD26FF"/>
    <w:rsid w:val="00CD299E"/>
    <w:rsid w:val="00CD331A"/>
    <w:rsid w:val="00CD51D0"/>
    <w:rsid w:val="00CE00CB"/>
    <w:rsid w:val="00CE15B7"/>
    <w:rsid w:val="00CE5AF0"/>
    <w:rsid w:val="00CE66A2"/>
    <w:rsid w:val="00CE6F69"/>
    <w:rsid w:val="00CF0FBE"/>
    <w:rsid w:val="00CF2736"/>
    <w:rsid w:val="00CF28F6"/>
    <w:rsid w:val="00CF7324"/>
    <w:rsid w:val="00D14E73"/>
    <w:rsid w:val="00D20FAB"/>
    <w:rsid w:val="00D21FE4"/>
    <w:rsid w:val="00D23AE4"/>
    <w:rsid w:val="00D24C5C"/>
    <w:rsid w:val="00D2700B"/>
    <w:rsid w:val="00D37AA3"/>
    <w:rsid w:val="00D411C7"/>
    <w:rsid w:val="00D418AD"/>
    <w:rsid w:val="00D431F2"/>
    <w:rsid w:val="00D432D8"/>
    <w:rsid w:val="00D47834"/>
    <w:rsid w:val="00D4783B"/>
    <w:rsid w:val="00D50061"/>
    <w:rsid w:val="00D5078C"/>
    <w:rsid w:val="00D54811"/>
    <w:rsid w:val="00D57937"/>
    <w:rsid w:val="00D62DFB"/>
    <w:rsid w:val="00D6491C"/>
    <w:rsid w:val="00D7024C"/>
    <w:rsid w:val="00D74634"/>
    <w:rsid w:val="00D74835"/>
    <w:rsid w:val="00D74B01"/>
    <w:rsid w:val="00D76C19"/>
    <w:rsid w:val="00D83B7F"/>
    <w:rsid w:val="00D84C7B"/>
    <w:rsid w:val="00D84D7C"/>
    <w:rsid w:val="00D8706F"/>
    <w:rsid w:val="00D90E35"/>
    <w:rsid w:val="00D933E6"/>
    <w:rsid w:val="00D95035"/>
    <w:rsid w:val="00D97557"/>
    <w:rsid w:val="00DA0D33"/>
    <w:rsid w:val="00DB0D03"/>
    <w:rsid w:val="00DB24FB"/>
    <w:rsid w:val="00DB38F5"/>
    <w:rsid w:val="00DC1BF6"/>
    <w:rsid w:val="00DC1EAC"/>
    <w:rsid w:val="00DD2130"/>
    <w:rsid w:val="00DD2893"/>
    <w:rsid w:val="00DD3C96"/>
    <w:rsid w:val="00DD5610"/>
    <w:rsid w:val="00DE76FA"/>
    <w:rsid w:val="00DE78B1"/>
    <w:rsid w:val="00DF15B6"/>
    <w:rsid w:val="00DF56DF"/>
    <w:rsid w:val="00DF70FB"/>
    <w:rsid w:val="00DF7C13"/>
    <w:rsid w:val="00E045E4"/>
    <w:rsid w:val="00E05B5A"/>
    <w:rsid w:val="00E06D36"/>
    <w:rsid w:val="00E12415"/>
    <w:rsid w:val="00E1444B"/>
    <w:rsid w:val="00E204B8"/>
    <w:rsid w:val="00E2053C"/>
    <w:rsid w:val="00E23C62"/>
    <w:rsid w:val="00E36286"/>
    <w:rsid w:val="00E365D6"/>
    <w:rsid w:val="00E37A99"/>
    <w:rsid w:val="00E41771"/>
    <w:rsid w:val="00E42FBE"/>
    <w:rsid w:val="00E43B2F"/>
    <w:rsid w:val="00E43D0D"/>
    <w:rsid w:val="00E45D0F"/>
    <w:rsid w:val="00E50E86"/>
    <w:rsid w:val="00E51381"/>
    <w:rsid w:val="00E53A77"/>
    <w:rsid w:val="00E54A5B"/>
    <w:rsid w:val="00E554D3"/>
    <w:rsid w:val="00E55F66"/>
    <w:rsid w:val="00E65885"/>
    <w:rsid w:val="00E65E68"/>
    <w:rsid w:val="00E67654"/>
    <w:rsid w:val="00E70862"/>
    <w:rsid w:val="00E729EB"/>
    <w:rsid w:val="00E762A4"/>
    <w:rsid w:val="00E76C3E"/>
    <w:rsid w:val="00E913EB"/>
    <w:rsid w:val="00E931F2"/>
    <w:rsid w:val="00EA6BF7"/>
    <w:rsid w:val="00EB1F75"/>
    <w:rsid w:val="00EB20A0"/>
    <w:rsid w:val="00EB5DC2"/>
    <w:rsid w:val="00EC0D9E"/>
    <w:rsid w:val="00EC719B"/>
    <w:rsid w:val="00ED521F"/>
    <w:rsid w:val="00ED737F"/>
    <w:rsid w:val="00EF03C6"/>
    <w:rsid w:val="00EF3294"/>
    <w:rsid w:val="00EF6460"/>
    <w:rsid w:val="00F009F3"/>
    <w:rsid w:val="00F03AB1"/>
    <w:rsid w:val="00F04817"/>
    <w:rsid w:val="00F055E9"/>
    <w:rsid w:val="00F1237F"/>
    <w:rsid w:val="00F126C9"/>
    <w:rsid w:val="00F147AA"/>
    <w:rsid w:val="00F20AB5"/>
    <w:rsid w:val="00F243D2"/>
    <w:rsid w:val="00F255EE"/>
    <w:rsid w:val="00F27A97"/>
    <w:rsid w:val="00F32F89"/>
    <w:rsid w:val="00F333C5"/>
    <w:rsid w:val="00F36EFB"/>
    <w:rsid w:val="00F45E14"/>
    <w:rsid w:val="00F460DD"/>
    <w:rsid w:val="00F46F80"/>
    <w:rsid w:val="00F4756E"/>
    <w:rsid w:val="00F51FFE"/>
    <w:rsid w:val="00F550D6"/>
    <w:rsid w:val="00F57892"/>
    <w:rsid w:val="00F57C61"/>
    <w:rsid w:val="00F676E0"/>
    <w:rsid w:val="00F7165D"/>
    <w:rsid w:val="00F72B3E"/>
    <w:rsid w:val="00F751C9"/>
    <w:rsid w:val="00F84723"/>
    <w:rsid w:val="00F84A4B"/>
    <w:rsid w:val="00F859AE"/>
    <w:rsid w:val="00F935CB"/>
    <w:rsid w:val="00FB033C"/>
    <w:rsid w:val="00FB3DAE"/>
    <w:rsid w:val="00FB7580"/>
    <w:rsid w:val="00FB7889"/>
    <w:rsid w:val="00FB7B7C"/>
    <w:rsid w:val="00FC036B"/>
    <w:rsid w:val="00FC1896"/>
    <w:rsid w:val="00FC462A"/>
    <w:rsid w:val="00FD4117"/>
    <w:rsid w:val="00FD5D4C"/>
    <w:rsid w:val="00FD7556"/>
    <w:rsid w:val="00FD7B3F"/>
    <w:rsid w:val="00FD7CA7"/>
    <w:rsid w:val="00FE00D9"/>
    <w:rsid w:val="00FE7870"/>
    <w:rsid w:val="00FF21A5"/>
    <w:rsid w:val="00FF6F85"/>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161CF"/>
  <w15:chartTrackingRefBased/>
  <w15:docId w15:val="{A2B5FE7E-6E96-43BC-BF08-530AEC17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EB"/>
    <w:pPr>
      <w:jc w:val="both"/>
    </w:pPr>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29EB"/>
    <w:pPr>
      <w:spacing w:before="100" w:beforeAutospacing="1" w:after="100" w:afterAutospacing="1"/>
      <w:jc w:val="left"/>
    </w:pPr>
    <w:rPr>
      <w:lang w:val="en-US" w:eastAsia="en-US"/>
    </w:rPr>
  </w:style>
  <w:style w:type="paragraph" w:styleId="FootnoteText">
    <w:name w:val="footnote text"/>
    <w:basedOn w:val="Normal"/>
    <w:link w:val="FootnoteTextChar"/>
    <w:uiPriority w:val="99"/>
    <w:semiHidden/>
    <w:rsid w:val="0013584A"/>
    <w:pPr>
      <w:jc w:val="left"/>
    </w:pPr>
    <w:rPr>
      <w:rFonts w:eastAsia="PMingLiU"/>
      <w:sz w:val="20"/>
      <w:szCs w:val="20"/>
      <w:lang w:eastAsia="zh-TW"/>
    </w:rPr>
  </w:style>
  <w:style w:type="character" w:styleId="FootnoteReference">
    <w:name w:val="footnote reference"/>
    <w:uiPriority w:val="99"/>
    <w:semiHidden/>
    <w:rsid w:val="0013584A"/>
    <w:rPr>
      <w:vertAlign w:val="superscript"/>
    </w:rPr>
  </w:style>
  <w:style w:type="paragraph" w:styleId="DocumentMap">
    <w:name w:val="Document Map"/>
    <w:basedOn w:val="Normal"/>
    <w:semiHidden/>
    <w:rsid w:val="00CD331A"/>
    <w:pPr>
      <w:shd w:val="clear" w:color="auto" w:fill="000080"/>
    </w:pPr>
    <w:rPr>
      <w:rFonts w:ascii="Tahoma" w:hAnsi="Tahoma" w:cs="Tahoma"/>
      <w:sz w:val="20"/>
      <w:szCs w:val="20"/>
    </w:rPr>
  </w:style>
  <w:style w:type="paragraph" w:styleId="TOC1">
    <w:name w:val="toc 1"/>
    <w:basedOn w:val="Normal"/>
    <w:next w:val="Normal"/>
    <w:semiHidden/>
    <w:rsid w:val="00CD331A"/>
    <w:pPr>
      <w:tabs>
        <w:tab w:val="right" w:leader="dot" w:pos="9071"/>
      </w:tabs>
      <w:spacing w:before="60" w:after="120"/>
      <w:ind w:left="850" w:hanging="850"/>
      <w:jc w:val="left"/>
    </w:pPr>
  </w:style>
  <w:style w:type="paragraph" w:styleId="BalloonText">
    <w:name w:val="Balloon Text"/>
    <w:basedOn w:val="Normal"/>
    <w:semiHidden/>
    <w:rsid w:val="00A80EA0"/>
    <w:rPr>
      <w:rFonts w:ascii="Tahoma" w:hAnsi="Tahoma" w:cs="Tahoma"/>
      <w:sz w:val="16"/>
      <w:szCs w:val="16"/>
    </w:rPr>
  </w:style>
  <w:style w:type="paragraph" w:customStyle="1" w:styleId="Text1">
    <w:name w:val="Text 1"/>
    <w:basedOn w:val="Normal"/>
    <w:rsid w:val="00C72033"/>
    <w:pPr>
      <w:ind w:left="850"/>
    </w:pPr>
    <w:rPr>
      <w:sz w:val="22"/>
    </w:rPr>
  </w:style>
  <w:style w:type="paragraph" w:customStyle="1" w:styleId="ColorfulList-Accent11">
    <w:name w:val="Colorful List - Accent 11"/>
    <w:basedOn w:val="Normal"/>
    <w:uiPriority w:val="34"/>
    <w:qFormat/>
    <w:rsid w:val="006474EE"/>
    <w:pPr>
      <w:spacing w:after="200" w:line="276" w:lineRule="auto"/>
      <w:ind w:left="720"/>
      <w:contextualSpacing/>
      <w:jc w:val="left"/>
    </w:pPr>
    <w:rPr>
      <w:rFonts w:ascii="Calibri" w:eastAsia="Calibri" w:hAnsi="Calibri"/>
      <w:sz w:val="22"/>
      <w:szCs w:val="22"/>
      <w:lang w:val="en-US" w:eastAsia="en-US"/>
    </w:rPr>
  </w:style>
  <w:style w:type="character" w:customStyle="1" w:styleId="FootnoteTextChar">
    <w:name w:val="Footnote Text Char"/>
    <w:link w:val="FootnoteText"/>
    <w:uiPriority w:val="99"/>
    <w:semiHidden/>
    <w:rsid w:val="006474EE"/>
    <w:rPr>
      <w:rFonts w:eastAsia="PMingLiU"/>
      <w:lang w:val="en-GB" w:eastAsia="zh-TW"/>
    </w:rPr>
  </w:style>
  <w:style w:type="table" w:styleId="TableGrid">
    <w:name w:val="Table Grid"/>
    <w:basedOn w:val="TableNormal"/>
    <w:uiPriority w:val="59"/>
    <w:rsid w:val="006474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4EE"/>
    <w:rPr>
      <w:color w:val="0000FF"/>
      <w:u w:val="single"/>
    </w:rPr>
  </w:style>
  <w:style w:type="character" w:styleId="CommentReference">
    <w:name w:val="annotation reference"/>
    <w:uiPriority w:val="99"/>
    <w:unhideWhenUsed/>
    <w:rsid w:val="003F2470"/>
    <w:rPr>
      <w:sz w:val="16"/>
      <w:szCs w:val="16"/>
    </w:rPr>
  </w:style>
  <w:style w:type="paragraph" w:styleId="CommentText">
    <w:name w:val="annotation text"/>
    <w:basedOn w:val="Normal"/>
    <w:link w:val="CommentTextChar"/>
    <w:uiPriority w:val="99"/>
    <w:unhideWhenUsed/>
    <w:rsid w:val="003F2470"/>
    <w:pPr>
      <w:spacing w:after="200"/>
      <w:jc w:val="left"/>
    </w:pPr>
    <w:rPr>
      <w:rFonts w:ascii="Calibri" w:eastAsia="Calibri" w:hAnsi="Calibri"/>
      <w:sz w:val="20"/>
      <w:szCs w:val="20"/>
      <w:lang w:val="en-US" w:eastAsia="en-US"/>
    </w:rPr>
  </w:style>
  <w:style w:type="character" w:customStyle="1" w:styleId="CommentTextChar">
    <w:name w:val="Comment Text Char"/>
    <w:link w:val="CommentText"/>
    <w:uiPriority w:val="99"/>
    <w:rsid w:val="003F2470"/>
    <w:rPr>
      <w:rFonts w:ascii="Calibri" w:eastAsia="Calibri" w:hAnsi="Calibri"/>
    </w:rPr>
  </w:style>
  <w:style w:type="paragraph" w:styleId="Header">
    <w:name w:val="header"/>
    <w:basedOn w:val="Normal"/>
    <w:link w:val="HeaderChar"/>
    <w:rsid w:val="00D411C7"/>
    <w:pPr>
      <w:tabs>
        <w:tab w:val="center" w:pos="4320"/>
        <w:tab w:val="right" w:pos="8640"/>
      </w:tabs>
    </w:pPr>
  </w:style>
  <w:style w:type="character" w:customStyle="1" w:styleId="HeaderChar">
    <w:name w:val="Header Char"/>
    <w:link w:val="Header"/>
    <w:rsid w:val="00D411C7"/>
    <w:rPr>
      <w:sz w:val="24"/>
      <w:szCs w:val="24"/>
      <w:lang w:val="en-GB" w:eastAsia="de-DE"/>
    </w:rPr>
  </w:style>
  <w:style w:type="paragraph" w:styleId="Footer">
    <w:name w:val="footer"/>
    <w:basedOn w:val="Normal"/>
    <w:link w:val="FooterChar"/>
    <w:uiPriority w:val="99"/>
    <w:rsid w:val="00D411C7"/>
    <w:pPr>
      <w:tabs>
        <w:tab w:val="center" w:pos="4320"/>
        <w:tab w:val="right" w:pos="8640"/>
      </w:tabs>
    </w:pPr>
  </w:style>
  <w:style w:type="character" w:customStyle="1" w:styleId="FooterChar">
    <w:name w:val="Footer Char"/>
    <w:link w:val="Footer"/>
    <w:uiPriority w:val="99"/>
    <w:rsid w:val="00D411C7"/>
    <w:rPr>
      <w:sz w:val="24"/>
      <w:szCs w:val="24"/>
      <w:lang w:val="en-GB" w:eastAsia="de-DE"/>
    </w:rPr>
  </w:style>
  <w:style w:type="paragraph" w:styleId="Revision">
    <w:name w:val="Revision"/>
    <w:hidden/>
    <w:uiPriority w:val="99"/>
    <w:semiHidden/>
    <w:rsid w:val="00543F70"/>
    <w:rPr>
      <w:sz w:val="24"/>
      <w:szCs w:val="24"/>
      <w:lang w:val="en-GB" w:eastAsia="de-DE"/>
    </w:rPr>
  </w:style>
  <w:style w:type="paragraph" w:styleId="CommentSubject">
    <w:name w:val="annotation subject"/>
    <w:basedOn w:val="CommentText"/>
    <w:next w:val="CommentText"/>
    <w:link w:val="CommentSubjectChar"/>
    <w:rsid w:val="00B624BA"/>
    <w:pPr>
      <w:spacing w:after="0"/>
      <w:jc w:val="both"/>
    </w:pPr>
    <w:rPr>
      <w:rFonts w:ascii="Times New Roman" w:eastAsia="Times New Roman" w:hAnsi="Times New Roman"/>
      <w:b/>
      <w:bCs/>
      <w:lang w:val="en-GB" w:eastAsia="de-DE"/>
    </w:rPr>
  </w:style>
  <w:style w:type="character" w:customStyle="1" w:styleId="CommentSubjectChar">
    <w:name w:val="Comment Subject Char"/>
    <w:link w:val="CommentSubject"/>
    <w:rsid w:val="00B624BA"/>
    <w:rPr>
      <w:rFonts w:ascii="Calibri" w:eastAsia="Calibri" w:hAnsi="Calibri"/>
      <w:b/>
      <w:bCs/>
      <w:lang w:eastAsia="de-DE"/>
    </w:rPr>
  </w:style>
  <w:style w:type="paragraph" w:styleId="EndnoteText">
    <w:name w:val="endnote text"/>
    <w:basedOn w:val="Normal"/>
    <w:link w:val="EndnoteTextChar"/>
    <w:rsid w:val="0098440C"/>
    <w:rPr>
      <w:sz w:val="20"/>
      <w:szCs w:val="20"/>
    </w:rPr>
  </w:style>
  <w:style w:type="character" w:customStyle="1" w:styleId="EndnoteTextChar">
    <w:name w:val="Endnote Text Char"/>
    <w:link w:val="EndnoteText"/>
    <w:rsid w:val="0098440C"/>
    <w:rPr>
      <w:lang w:val="en-GB" w:eastAsia="de-DE"/>
    </w:rPr>
  </w:style>
  <w:style w:type="character" w:styleId="EndnoteReference">
    <w:name w:val="endnote reference"/>
    <w:rsid w:val="0098440C"/>
    <w:rPr>
      <w:vertAlign w:val="superscript"/>
    </w:rPr>
  </w:style>
  <w:style w:type="paragraph" w:customStyle="1" w:styleId="Default">
    <w:name w:val="Default"/>
    <w:rsid w:val="00D7024C"/>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D84C7B"/>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7986">
      <w:bodyDiv w:val="1"/>
      <w:marLeft w:val="0"/>
      <w:marRight w:val="0"/>
      <w:marTop w:val="0"/>
      <w:marBottom w:val="0"/>
      <w:divBdr>
        <w:top w:val="none" w:sz="0" w:space="0" w:color="auto"/>
        <w:left w:val="none" w:sz="0" w:space="0" w:color="auto"/>
        <w:bottom w:val="none" w:sz="0" w:space="0" w:color="auto"/>
        <w:right w:val="none" w:sz="0" w:space="0" w:color="auto"/>
      </w:divBdr>
    </w:div>
    <w:div w:id="446776052">
      <w:bodyDiv w:val="1"/>
      <w:marLeft w:val="0"/>
      <w:marRight w:val="0"/>
      <w:marTop w:val="0"/>
      <w:marBottom w:val="0"/>
      <w:divBdr>
        <w:top w:val="none" w:sz="0" w:space="0" w:color="auto"/>
        <w:left w:val="none" w:sz="0" w:space="0" w:color="auto"/>
        <w:bottom w:val="none" w:sz="0" w:space="0" w:color="auto"/>
        <w:right w:val="none" w:sz="0" w:space="0" w:color="auto"/>
      </w:divBdr>
    </w:div>
    <w:div w:id="463737146">
      <w:bodyDiv w:val="1"/>
      <w:marLeft w:val="0"/>
      <w:marRight w:val="0"/>
      <w:marTop w:val="0"/>
      <w:marBottom w:val="0"/>
      <w:divBdr>
        <w:top w:val="none" w:sz="0" w:space="0" w:color="auto"/>
        <w:left w:val="none" w:sz="0" w:space="0" w:color="auto"/>
        <w:bottom w:val="none" w:sz="0" w:space="0" w:color="auto"/>
        <w:right w:val="none" w:sz="0" w:space="0" w:color="auto"/>
      </w:divBdr>
    </w:div>
    <w:div w:id="621107089">
      <w:bodyDiv w:val="1"/>
      <w:marLeft w:val="0"/>
      <w:marRight w:val="0"/>
      <w:marTop w:val="0"/>
      <w:marBottom w:val="0"/>
      <w:divBdr>
        <w:top w:val="none" w:sz="0" w:space="0" w:color="auto"/>
        <w:left w:val="none" w:sz="0" w:space="0" w:color="auto"/>
        <w:bottom w:val="none" w:sz="0" w:space="0" w:color="auto"/>
        <w:right w:val="none" w:sz="0" w:space="0" w:color="auto"/>
      </w:divBdr>
    </w:div>
    <w:div w:id="1098022621">
      <w:bodyDiv w:val="1"/>
      <w:marLeft w:val="0"/>
      <w:marRight w:val="0"/>
      <w:marTop w:val="0"/>
      <w:marBottom w:val="0"/>
      <w:divBdr>
        <w:top w:val="none" w:sz="0" w:space="0" w:color="auto"/>
        <w:left w:val="none" w:sz="0" w:space="0" w:color="auto"/>
        <w:bottom w:val="none" w:sz="0" w:space="0" w:color="auto"/>
        <w:right w:val="none" w:sz="0" w:space="0" w:color="auto"/>
      </w:divBdr>
    </w:div>
    <w:div w:id="1187058485">
      <w:bodyDiv w:val="1"/>
      <w:marLeft w:val="0"/>
      <w:marRight w:val="0"/>
      <w:marTop w:val="0"/>
      <w:marBottom w:val="0"/>
      <w:divBdr>
        <w:top w:val="none" w:sz="0" w:space="0" w:color="auto"/>
        <w:left w:val="none" w:sz="0" w:space="0" w:color="auto"/>
        <w:bottom w:val="none" w:sz="0" w:space="0" w:color="auto"/>
        <w:right w:val="none" w:sz="0" w:space="0" w:color="auto"/>
      </w:divBdr>
    </w:div>
    <w:div w:id="1227493138">
      <w:bodyDiv w:val="1"/>
      <w:marLeft w:val="0"/>
      <w:marRight w:val="0"/>
      <w:marTop w:val="0"/>
      <w:marBottom w:val="0"/>
      <w:divBdr>
        <w:top w:val="none" w:sz="0" w:space="0" w:color="auto"/>
        <w:left w:val="none" w:sz="0" w:space="0" w:color="auto"/>
        <w:bottom w:val="none" w:sz="0" w:space="0" w:color="auto"/>
        <w:right w:val="none" w:sz="0" w:space="0" w:color="auto"/>
      </w:divBdr>
    </w:div>
    <w:div w:id="1373260746">
      <w:bodyDiv w:val="1"/>
      <w:marLeft w:val="0"/>
      <w:marRight w:val="0"/>
      <w:marTop w:val="0"/>
      <w:marBottom w:val="0"/>
      <w:divBdr>
        <w:top w:val="none" w:sz="0" w:space="0" w:color="auto"/>
        <w:left w:val="none" w:sz="0" w:space="0" w:color="auto"/>
        <w:bottom w:val="none" w:sz="0" w:space="0" w:color="auto"/>
        <w:right w:val="none" w:sz="0" w:space="0" w:color="auto"/>
      </w:divBdr>
    </w:div>
    <w:div w:id="1722754432">
      <w:bodyDiv w:val="1"/>
      <w:marLeft w:val="0"/>
      <w:marRight w:val="0"/>
      <w:marTop w:val="0"/>
      <w:marBottom w:val="0"/>
      <w:divBdr>
        <w:top w:val="none" w:sz="0" w:space="0" w:color="auto"/>
        <w:left w:val="none" w:sz="0" w:space="0" w:color="auto"/>
        <w:bottom w:val="none" w:sz="0" w:space="0" w:color="auto"/>
        <w:right w:val="none" w:sz="0" w:space="0" w:color="auto"/>
      </w:divBdr>
    </w:div>
    <w:div w:id="1973366122">
      <w:bodyDiv w:val="1"/>
      <w:marLeft w:val="0"/>
      <w:marRight w:val="0"/>
      <w:marTop w:val="0"/>
      <w:marBottom w:val="0"/>
      <w:divBdr>
        <w:top w:val="none" w:sz="0" w:space="0" w:color="auto"/>
        <w:left w:val="none" w:sz="0" w:space="0" w:color="auto"/>
        <w:bottom w:val="none" w:sz="0" w:space="0" w:color="auto"/>
        <w:right w:val="none" w:sz="0" w:space="0" w:color="auto"/>
      </w:divBdr>
    </w:div>
    <w:div w:id="2045522882">
      <w:bodyDiv w:val="1"/>
      <w:marLeft w:val="0"/>
      <w:marRight w:val="0"/>
      <w:marTop w:val="0"/>
      <w:marBottom w:val="0"/>
      <w:divBdr>
        <w:top w:val="none" w:sz="0" w:space="0" w:color="auto"/>
        <w:left w:val="none" w:sz="0" w:space="0" w:color="auto"/>
        <w:bottom w:val="none" w:sz="0" w:space="0" w:color="auto"/>
        <w:right w:val="none" w:sz="0" w:space="0" w:color="auto"/>
      </w:divBdr>
    </w:div>
    <w:div w:id="2137286723">
      <w:bodyDiv w:val="1"/>
      <w:marLeft w:val="0"/>
      <w:marRight w:val="0"/>
      <w:marTop w:val="0"/>
      <w:marBottom w:val="0"/>
      <w:divBdr>
        <w:top w:val="none" w:sz="0" w:space="0" w:color="auto"/>
        <w:left w:val="none" w:sz="0" w:space="0" w:color="auto"/>
        <w:bottom w:val="none" w:sz="0" w:space="0" w:color="auto"/>
        <w:right w:val="none" w:sz="0" w:space="0" w:color="auto"/>
      </w:divBdr>
      <w:divsChild>
        <w:div w:id="1779786713">
          <w:marLeft w:val="0"/>
          <w:marRight w:val="0"/>
          <w:marTop w:val="0"/>
          <w:marBottom w:val="150"/>
          <w:divBdr>
            <w:top w:val="none" w:sz="0" w:space="0" w:color="auto"/>
            <w:left w:val="none" w:sz="0" w:space="0" w:color="auto"/>
            <w:bottom w:val="none" w:sz="0" w:space="0" w:color="auto"/>
            <w:right w:val="none" w:sz="0" w:space="0" w:color="auto"/>
          </w:divBdr>
        </w:div>
        <w:div w:id="1181236141">
          <w:marLeft w:val="0"/>
          <w:marRight w:val="0"/>
          <w:marTop w:val="0"/>
          <w:marBottom w:val="225"/>
          <w:divBdr>
            <w:top w:val="none" w:sz="0" w:space="0" w:color="auto"/>
            <w:left w:val="none" w:sz="0" w:space="0" w:color="auto"/>
            <w:bottom w:val="none" w:sz="0" w:space="0" w:color="auto"/>
            <w:right w:val="none" w:sz="0" w:space="0" w:color="auto"/>
          </w:divBdr>
          <w:divsChild>
            <w:div w:id="1938096744">
              <w:marLeft w:val="0"/>
              <w:marRight w:val="0"/>
              <w:marTop w:val="0"/>
              <w:marBottom w:val="0"/>
              <w:divBdr>
                <w:top w:val="none" w:sz="0" w:space="0" w:color="auto"/>
                <w:left w:val="none" w:sz="0" w:space="0" w:color="auto"/>
                <w:bottom w:val="none" w:sz="0" w:space="0" w:color="auto"/>
                <w:right w:val="none" w:sz="0" w:space="0" w:color="auto"/>
              </w:divBdr>
              <w:divsChild>
                <w:div w:id="1358314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B095-FDBF-4217-8642-7ED8790C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7648</Characters>
  <Application>Microsoft Office Word</Application>
  <DocSecurity>4</DocSecurity>
  <Lines>478</Lines>
  <Paragraphs>317</Paragraphs>
  <ScaleCrop>false</ScaleCrop>
  <HeadingPairs>
    <vt:vector size="2" baseType="variant">
      <vt:variant>
        <vt:lpstr>Title</vt:lpstr>
      </vt:variant>
      <vt:variant>
        <vt:i4>1</vt:i4>
      </vt:variant>
    </vt:vector>
  </HeadingPairs>
  <TitlesOfParts>
    <vt:vector size="1" baseType="lpstr">
      <vt:lpstr> </vt:lpstr>
    </vt:vector>
  </TitlesOfParts>
  <Company>Jrc -European Commission-</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giacomo-chato.osio@ec.europa.eu</dc:creator>
  <cp:keywords/>
  <cp:lastModifiedBy>OSIO Giacomo Chato (MARE)</cp:lastModifiedBy>
  <cp:revision>2</cp:revision>
  <cp:lastPrinted>2018-10-03T10:12:00Z</cp:lastPrinted>
  <dcterms:created xsi:type="dcterms:W3CDTF">2019-04-03T08:43:00Z</dcterms:created>
  <dcterms:modified xsi:type="dcterms:W3CDTF">2019-04-03T08:43:00Z</dcterms:modified>
</cp:coreProperties>
</file>