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DA" w:rsidRDefault="00742DEB">
      <w:pPr>
        <w:spacing w:after="360" w:line="288" w:lineRule="auto"/>
        <w:jc w:val="center"/>
        <w:rPr>
          <w:color w:val="000000"/>
          <w:sz w:val="28"/>
          <w:szCs w:val="32"/>
        </w:rPr>
      </w:pPr>
      <w:r>
        <w:rPr>
          <w:b/>
          <w:bCs/>
          <w:color w:val="000000"/>
          <w:sz w:val="28"/>
          <w:szCs w:val="32"/>
        </w:rPr>
        <w:t>STECF</w:t>
      </w:r>
      <w:r>
        <w:rPr>
          <w:b/>
          <w:bCs/>
          <w:color w:val="000000"/>
          <w:sz w:val="28"/>
          <w:szCs w:val="32"/>
        </w:rPr>
        <w:br/>
      </w:r>
      <w:r>
        <w:rPr>
          <w:b/>
          <w:bCs/>
          <w:color w:val="000000"/>
          <w:sz w:val="28"/>
        </w:rPr>
        <w:t>E</w:t>
      </w:r>
      <w:r>
        <w:rPr>
          <w:b/>
          <w:bCs/>
          <w:color w:val="000000"/>
        </w:rPr>
        <w:t xml:space="preserve">XPERT </w:t>
      </w:r>
      <w:r>
        <w:rPr>
          <w:b/>
          <w:bCs/>
          <w:color w:val="000000"/>
          <w:sz w:val="28"/>
        </w:rPr>
        <w:t>W</w:t>
      </w:r>
      <w:r>
        <w:rPr>
          <w:b/>
          <w:bCs/>
          <w:color w:val="000000"/>
        </w:rPr>
        <w:t xml:space="preserve">ORKING </w:t>
      </w:r>
      <w:r>
        <w:rPr>
          <w:b/>
          <w:bCs/>
          <w:color w:val="000000"/>
          <w:sz w:val="28"/>
        </w:rPr>
        <w:t>G</w:t>
      </w:r>
      <w:r>
        <w:rPr>
          <w:b/>
          <w:bCs/>
          <w:color w:val="000000"/>
        </w:rPr>
        <w:t xml:space="preserve">ROUP </w:t>
      </w:r>
      <w:r>
        <w:rPr>
          <w:b/>
          <w:bCs/>
          <w:color w:val="000000"/>
          <w:sz w:val="28"/>
          <w:szCs w:val="28"/>
        </w:rPr>
        <w:t>EWG 19-10</w:t>
      </w:r>
    </w:p>
    <w:p w:rsidR="006B36DA" w:rsidRDefault="00742DEB">
      <w:pPr>
        <w:spacing w:after="360" w:line="288" w:lineRule="auto"/>
        <w:jc w:val="center"/>
        <w:rPr>
          <w:color w:val="000000"/>
          <w:sz w:val="28"/>
          <w:szCs w:val="32"/>
        </w:rPr>
      </w:pPr>
      <w:r>
        <w:rPr>
          <w:b/>
          <w:color w:val="000000"/>
          <w:szCs w:val="32"/>
        </w:rPr>
        <w:t>on</w:t>
      </w:r>
      <w:r>
        <w:rPr>
          <w:b/>
        </w:rPr>
        <w:t xml:space="preserve"> Stock Assessments:</w:t>
      </w:r>
      <w:r>
        <w:rPr>
          <w:b/>
        </w:rPr>
        <w:br/>
        <w:t>demersal stocks in the western Mediterranean Sea</w:t>
      </w:r>
    </w:p>
    <w:p w:rsidR="006B36DA" w:rsidRDefault="00742DEB">
      <w:pPr>
        <w:spacing w:after="480" w:line="288" w:lineRule="auto"/>
        <w:jc w:val="center"/>
      </w:pPr>
      <w:r>
        <w:rPr>
          <w:i/>
        </w:rPr>
        <w:t>9-15 September, Arona, Italy</w:t>
      </w:r>
    </w:p>
    <w:p w:rsidR="006B36DA" w:rsidRDefault="00742DEB">
      <w:pPr>
        <w:spacing w:line="288" w:lineRule="auto"/>
      </w:pPr>
      <w:r>
        <w:rPr>
          <w:b/>
          <w:bCs/>
          <w:color w:val="000000"/>
        </w:rPr>
        <w:t xml:space="preserve">DG MARE focal persons: </w:t>
      </w:r>
      <w:r>
        <w:rPr>
          <w:bCs/>
          <w:color w:val="000000"/>
        </w:rPr>
        <w:t>Amanda Perez Perera</w:t>
      </w:r>
      <w:r>
        <w:rPr>
          <w:b/>
          <w:bCs/>
          <w:color w:val="000000"/>
        </w:rPr>
        <w:t xml:space="preserve"> </w:t>
      </w:r>
    </w:p>
    <w:p w:rsidR="006B36DA" w:rsidRDefault="00742DEB">
      <w:pPr>
        <w:spacing w:after="600" w:line="288" w:lineRule="auto"/>
      </w:pPr>
      <w:r>
        <w:rPr>
          <w:b/>
          <w:bCs/>
          <w:color w:val="000000"/>
        </w:rPr>
        <w:t xml:space="preserve">Chair: </w:t>
      </w:r>
      <w:r>
        <w:rPr>
          <w:bCs/>
          <w:color w:val="000000"/>
        </w:rPr>
        <w:t>John Simmonds</w:t>
      </w:r>
    </w:p>
    <w:p w:rsidR="006B36DA" w:rsidRDefault="00742DEB">
      <w:pPr>
        <w:spacing w:after="120" w:line="288" w:lineRule="auto"/>
        <w:rPr>
          <w:i/>
        </w:rPr>
      </w:pPr>
      <w:r>
        <w:rPr>
          <w:i/>
        </w:rPr>
        <w:t>GENERAL GUIDELINES</w:t>
      </w:r>
      <w:r>
        <w:t>:</w:t>
      </w:r>
      <w:r>
        <w:rPr>
          <w:i/>
        </w:rPr>
        <w:t xml:space="preserve"> unless the data used and information provided comes from the official DCF data calls, the experts are requested to indicate the data source from where certain information has been taken (e.g. L-W relationships, prices) or if it is an experts' reasoned guess.</w:t>
      </w:r>
    </w:p>
    <w:p w:rsidR="006B36DA" w:rsidRDefault="00742DEB">
      <w:pPr>
        <w:spacing w:after="120" w:line="288" w:lineRule="auto"/>
        <w:rPr>
          <w:i/>
        </w:rPr>
      </w:pPr>
      <w:r>
        <w:rPr>
          <w:i/>
        </w:rPr>
        <w:t>Data collected outside the DCF shall be used as well and merged with DCF data whenever necessary and following quality check. Due account shall also be given to data used and assessments carried out within the FAO regional projects co-funded by the European Commission and EU-Member States in particular when using data collected through the DCF/DCR and EU funded research projects, studies and other types of EU funding.</w:t>
      </w:r>
    </w:p>
    <w:p w:rsidR="006B36DA" w:rsidRDefault="00742DEB">
      <w:pPr>
        <w:spacing w:after="360" w:line="288" w:lineRule="auto"/>
      </w:pPr>
      <w:r>
        <w:rPr>
          <w:i/>
        </w:rPr>
        <w:t>The raw data used to generate the input data, assessment scripts as well as input files should be made available to the JRC for reproducibility of the assessments and compilation of the STECF stock assessment database (</w:t>
      </w:r>
      <w:hyperlink r:id="rId7">
        <w:r>
          <w:rPr>
            <w:rStyle w:val="InternetLink"/>
            <w:i/>
          </w:rPr>
          <w:t>https://stecf.jrc.ec.europa.eu/dd/medbs/ram</w:t>
        </w:r>
      </w:hyperlink>
      <w:r>
        <w:rPr>
          <w:i/>
        </w:rPr>
        <w:t>).</w:t>
      </w:r>
    </w:p>
    <w:p w:rsidR="006B36DA" w:rsidRDefault="00742DEB">
      <w:pPr>
        <w:spacing w:after="360" w:line="288" w:lineRule="auto"/>
        <w:rPr>
          <w:i/>
        </w:rPr>
      </w:pPr>
      <w:r>
        <w:rPr>
          <w:i/>
        </w:rPr>
        <w:t>STECF 17-07</w:t>
      </w:r>
      <w:r>
        <w:rPr>
          <w:rStyle w:val="FootnoteAnchor"/>
          <w:i/>
        </w:rPr>
        <w:footnoteReference w:id="1"/>
      </w:r>
      <w:r>
        <w:rPr>
          <w:i/>
        </w:rPr>
        <w:t xml:space="preserve"> defined methodological guidelines to ensure standardized practices for the preparation of stock assessment input data. EWG 18-12 should adhere to these recommendations referring to the need of: (i) coherence of all growth parameters used in the assessments; (ii) improvement in documenting and defining the growth models and age slicing; (iii) test where possible age slicing by sex;(iv) t0 should be truncated to values between 0 and -0.2; and (v) review the raw age length data, where necessary refitting growth models (section 2.2 in the EWG 17-07 report).</w:t>
      </w:r>
      <w:r>
        <w:br w:type="page"/>
      </w:r>
    </w:p>
    <w:p w:rsidR="006B36DA" w:rsidRDefault="00742DEB">
      <w:pPr>
        <w:spacing w:after="120" w:line="288" w:lineRule="auto"/>
      </w:pPr>
      <w:r>
        <w:rPr>
          <w:b/>
          <w:lang w:eastAsia="en-GB"/>
        </w:rPr>
        <w:lastRenderedPageBreak/>
        <w:t>For the stocks given in the table below, the EWG 19-10 is requested:</w:t>
      </w:r>
    </w:p>
    <w:p w:rsidR="006B36DA" w:rsidRDefault="00742DEB">
      <w:pPr>
        <w:spacing w:after="240" w:line="288" w:lineRule="auto"/>
        <w:ind w:left="1134" w:hanging="1134"/>
      </w:pPr>
      <w:r>
        <w:rPr>
          <w:b/>
          <w:lang w:eastAsia="en-GB"/>
        </w:rPr>
        <w:t>ToR 1.</w:t>
      </w:r>
      <w:r>
        <w:rPr>
          <w:lang w:eastAsia="en-GB"/>
        </w:rPr>
        <w:tab/>
        <w:t>To compile and provide the most updated information on stock identification and boundaries, length and age composition, growth, maturity, feeding, essential fish habitats and natural mortality.</w:t>
      </w:r>
    </w:p>
    <w:p w:rsidR="006B36DA" w:rsidRDefault="00742DEB">
      <w:pPr>
        <w:spacing w:after="240" w:line="288" w:lineRule="auto"/>
        <w:ind w:left="1134" w:hanging="1134"/>
      </w:pPr>
      <w:r>
        <w:rPr>
          <w:b/>
          <w:lang w:eastAsia="en-GB"/>
        </w:rPr>
        <w:t>ToR 2.</w:t>
      </w:r>
      <w:r>
        <w:rPr>
          <w:lang w:eastAsia="en-GB"/>
        </w:rPr>
        <w:tab/>
        <w:t>To compile and</w:t>
      </w:r>
      <w:r>
        <w:rPr>
          <w:sz w:val="18"/>
          <w:lang w:eastAsia="en-GB"/>
        </w:rPr>
        <w:t xml:space="preserve"> </w:t>
      </w:r>
      <w:r>
        <w:rPr>
          <w:lang w:eastAsia="en-GB"/>
        </w:rPr>
        <w:t xml:space="preserve">provide complete sets of annual data on landings and discards for the longest time series available up to and including 2018, including length frequency distribution over </w:t>
      </w:r>
      <w:r w:rsidR="00EB78C6">
        <w:rPr>
          <w:lang w:eastAsia="en-GB"/>
        </w:rPr>
        <w:t>time.</w:t>
      </w:r>
    </w:p>
    <w:p w:rsidR="006B36DA" w:rsidRDefault="00742DEB">
      <w:pPr>
        <w:spacing w:after="240" w:line="288" w:lineRule="auto"/>
        <w:ind w:left="1134" w:hanging="1134"/>
        <w:rPr>
          <w:lang w:eastAsia="en-GB"/>
        </w:rPr>
      </w:pPr>
      <w:r>
        <w:rPr>
          <w:b/>
          <w:lang w:eastAsia="en-GB"/>
        </w:rPr>
        <w:t>ToR 3.</w:t>
      </w:r>
      <w:r>
        <w:rPr>
          <w:lang w:eastAsia="en-GB"/>
        </w:rPr>
        <w:tab/>
        <w:t>To compile and provide complete sets of annual data on fishing effort for the longest time series available up to and including 2018. This should be described in terms of fishing days, days at sea, GT*days and nominal effort by Member State, GSA and fishing gear.</w:t>
      </w:r>
    </w:p>
    <w:p w:rsidR="006B36DA" w:rsidRDefault="00742DEB">
      <w:pPr>
        <w:spacing w:after="240" w:line="288" w:lineRule="auto"/>
        <w:ind w:left="1134" w:hanging="1134"/>
      </w:pPr>
      <w:r>
        <w:rPr>
          <w:b/>
          <w:lang w:eastAsia="en-GB"/>
        </w:rPr>
        <w:t>ToR 4.</w:t>
      </w:r>
      <w:r>
        <w:rPr>
          <w:lang w:eastAsia="en-GB"/>
        </w:rPr>
        <w:tab/>
        <w:t xml:space="preserve">To compile and provide indices of abundances and biomass by year and size/age structure </w:t>
      </w:r>
      <w:r>
        <w:rPr>
          <w:sz w:val="23"/>
          <w:szCs w:val="23"/>
        </w:rPr>
        <w:t>for the longest time series available up to and including 2018</w:t>
      </w:r>
      <w:r>
        <w:rPr>
          <w:lang w:eastAsia="en-GB"/>
        </w:rPr>
        <w:t>.</w:t>
      </w:r>
      <w:r w:rsidR="00EB78C6">
        <w:rPr>
          <w:lang w:eastAsia="en-GB"/>
        </w:rPr>
        <w:t xml:space="preserve"> Where possible, the EWG should take into account the results of the EU-funded project RECFISH</w:t>
      </w:r>
      <w:r w:rsidR="00EB78C6">
        <w:rPr>
          <w:rStyle w:val="FootnoteReference"/>
          <w:lang w:eastAsia="en-GB"/>
        </w:rPr>
        <w:footnoteReference w:id="2"/>
      </w:r>
      <w:r w:rsidR="00EB78C6">
        <w:rPr>
          <w:lang w:eastAsia="en-GB"/>
        </w:rPr>
        <w:t>.</w:t>
      </w:r>
    </w:p>
    <w:p w:rsidR="006B36DA" w:rsidRDefault="00742DEB">
      <w:pPr>
        <w:spacing w:after="240" w:line="288" w:lineRule="auto"/>
        <w:ind w:left="1134" w:hanging="1134"/>
      </w:pPr>
      <w:r>
        <w:rPr>
          <w:b/>
          <w:lang w:eastAsia="en-GB"/>
        </w:rPr>
        <w:t>ToR 5.</w:t>
      </w:r>
      <w:r>
        <w:rPr>
          <w:lang w:eastAsia="en-GB"/>
        </w:rPr>
        <w:tab/>
        <w:t>To assess trends in historic and recent stock parameters on fishing mortality, stock biomass, spawning stock biomass, and recruitment. Different assessment models should be applied as appropriate, including retrospective analyses. The selection of the most reliable assessment shall be explained. Assumptions and uncertainties shall be specified.</w:t>
      </w:r>
      <w:r w:rsidR="006F3029" w:rsidRPr="00846485">
        <w:rPr>
          <w:lang w:eastAsia="en-GB"/>
        </w:rPr>
        <w:t xml:space="preserve"> To assist with development of management plans, give preference to models that allow estimation of uncertainty, in line with the recommendations of STECF EWG 17-07.</w:t>
      </w:r>
    </w:p>
    <w:p w:rsidR="006B36DA" w:rsidRDefault="00742DEB">
      <w:pPr>
        <w:spacing w:after="240" w:line="288" w:lineRule="auto"/>
        <w:ind w:left="1134" w:hanging="1134"/>
        <w:rPr>
          <w:lang w:eastAsia="en-GB"/>
        </w:rPr>
      </w:pPr>
      <w:r>
        <w:rPr>
          <w:b/>
          <w:lang w:eastAsia="en-GB"/>
        </w:rPr>
        <w:t xml:space="preserve">ToR </w:t>
      </w:r>
      <w:r>
        <w:rPr>
          <w:b/>
        </w:rPr>
        <w:t>6.</w:t>
      </w:r>
      <w:r>
        <w:tab/>
        <w:t>To estimate the F</w:t>
      </w:r>
      <w:r>
        <w:rPr>
          <w:vertAlign w:val="subscript"/>
        </w:rPr>
        <w:t>MSY</w:t>
      </w:r>
      <w:r>
        <w:t xml:space="preserve"> point value,</w:t>
      </w:r>
      <w:r>
        <w:rPr>
          <w:color w:val="C00000"/>
        </w:rPr>
        <w:t xml:space="preserve"> </w:t>
      </w:r>
      <w:r>
        <w:t>range of F</w:t>
      </w:r>
      <w:r>
        <w:rPr>
          <w:vertAlign w:val="subscript"/>
        </w:rPr>
        <w:t>MSY</w:t>
      </w:r>
      <w:r>
        <w:t xml:space="preserve"> (i.e. MSY F</w:t>
      </w:r>
      <w:r>
        <w:rPr>
          <w:vertAlign w:val="subscript"/>
        </w:rPr>
        <w:t>LOWER</w:t>
      </w:r>
      <w:r>
        <w:t xml:space="preserve"> and MSY F</w:t>
      </w:r>
      <w:r>
        <w:rPr>
          <w:vertAlign w:val="subscript"/>
        </w:rPr>
        <w:t>UPPER</w:t>
      </w:r>
      <w:r>
        <w:t>) and the conservation reference points (i.e. B</w:t>
      </w:r>
      <w:r>
        <w:rPr>
          <w:vertAlign w:val="subscript"/>
        </w:rPr>
        <w:t>PA</w:t>
      </w:r>
      <w:r>
        <w:t xml:space="preserve"> and B</w:t>
      </w:r>
      <w:r>
        <w:rPr>
          <w:vertAlign w:val="subscript"/>
        </w:rPr>
        <w:t>LIM</w:t>
      </w:r>
      <w:r>
        <w:t>), or proxy. The proposed values shall be related to long-term high yields and low risk of stock/fishery collapse and ensure that the exploitation levels restore and maintain marine biological resources at least at levels which can produce the maximum sustainable yield.</w:t>
      </w:r>
    </w:p>
    <w:p w:rsidR="006B36DA" w:rsidRDefault="00742DEB">
      <w:pPr>
        <w:spacing w:after="240" w:line="288" w:lineRule="auto"/>
        <w:ind w:left="1134" w:hanging="1134"/>
        <w:rPr>
          <w:lang w:eastAsia="en-GB"/>
        </w:rPr>
      </w:pPr>
      <w:r>
        <w:rPr>
          <w:b/>
        </w:rPr>
        <w:t>ToR 7.</w:t>
      </w:r>
      <w:r>
        <w:rPr>
          <w:b/>
        </w:rPr>
        <w:tab/>
      </w:r>
      <w:r>
        <w:t>To provide short and medium term forecasts of spawning stock biomass, stock biomass</w:t>
      </w:r>
      <w:r w:rsidR="008859E3">
        <w:t xml:space="preserve"> </w:t>
      </w:r>
      <w:r>
        <w:t>and catches. The forecasts shall include different management scenarios, including: the status quo fishing mortality and target F</w:t>
      </w:r>
      <w:r>
        <w:rPr>
          <w:vertAlign w:val="subscript"/>
        </w:rPr>
        <w:t>MSY</w:t>
      </w:r>
      <w:r>
        <w:t xml:space="preserve"> range (i.e. F</w:t>
      </w:r>
      <w:r>
        <w:rPr>
          <w:vertAlign w:val="subscript"/>
        </w:rPr>
        <w:t>MSY</w:t>
      </w:r>
      <w:r>
        <w:t xml:space="preserve"> point value, MSY F</w:t>
      </w:r>
      <w:r>
        <w:rPr>
          <w:vertAlign w:val="subscript"/>
        </w:rPr>
        <w:t>LOWER</w:t>
      </w:r>
      <w:r>
        <w:t xml:space="preserve"> and MSY F</w:t>
      </w:r>
      <w:r>
        <w:rPr>
          <w:vertAlign w:val="subscript"/>
        </w:rPr>
        <w:t>UPPER</w:t>
      </w:r>
      <w:r>
        <w:t>) or other appropriate proxy by 2020 and 2025.</w:t>
      </w:r>
    </w:p>
    <w:p w:rsidR="006B36DA" w:rsidRDefault="00742DEB">
      <w:pPr>
        <w:spacing w:after="240" w:line="288" w:lineRule="auto"/>
        <w:ind w:left="1134" w:hanging="1134"/>
      </w:pPr>
      <w:r>
        <w:rPr>
          <w:b/>
        </w:rPr>
        <w:t>ToR 8.</w:t>
      </w:r>
      <w:r>
        <w:rPr>
          <w:b/>
        </w:rPr>
        <w:tab/>
      </w:r>
      <w:r>
        <w:t>To summarize and concisely describe all data quality deficiencies, including possible limitations with the surveys of relevance for stock assessments and fisheries. Such review and description are to be based on the data format of the official DCF data call for the Mediterranean Sea launched on May 2019. Identify further research studies and data collection which would be required for improved fish stock assessments.</w:t>
      </w:r>
    </w:p>
    <w:p w:rsidR="006B36DA" w:rsidRDefault="00742DEB">
      <w:pPr>
        <w:spacing w:after="240" w:line="288" w:lineRule="auto"/>
        <w:ind w:left="1134" w:hanging="1134"/>
      </w:pPr>
      <w:r>
        <w:rPr>
          <w:b/>
        </w:rPr>
        <w:lastRenderedPageBreak/>
        <w:t>ToR 9.</w:t>
      </w:r>
      <w:r>
        <w:tab/>
        <w:t xml:space="preserve">To ensure that all unresolved data transmission issues encountered prior to and during the EWG meeting are reported on line via the Data Transmission Monitoring Tool (DTMT) available at </w:t>
      </w:r>
      <w:hyperlink r:id="rId8">
        <w:r>
          <w:rPr>
            <w:rStyle w:val="InternetLink"/>
          </w:rPr>
          <w:t>https://datacollection.jrc.ec.europa.eu/web/dcf/dtmt</w:t>
        </w:r>
      </w:hyperlink>
      <w:r>
        <w:t>. Guidance on precisely what should be inserted in the DTMT, log-on credentials and access rights will be provided separately by the STECF Secretariat focal point for the EWG.</w:t>
      </w:r>
    </w:p>
    <w:p w:rsidR="006B36DA" w:rsidRDefault="00742DEB">
      <w:pPr>
        <w:spacing w:after="120" w:line="288" w:lineRule="auto"/>
        <w:ind w:left="1134" w:hanging="1134"/>
        <w:rPr>
          <w:lang w:eastAsia="en-GB"/>
        </w:rPr>
      </w:pPr>
      <w:r>
        <w:rPr>
          <w:b/>
          <w:lang w:eastAsia="en-GB"/>
        </w:rPr>
        <w:t>ToR 10.</w:t>
      </w:r>
      <w:r>
        <w:rPr>
          <w:lang w:eastAsia="en-GB"/>
        </w:rPr>
        <w:tab/>
      </w:r>
      <w:r w:rsidR="006F3029">
        <w:rPr>
          <w:lang w:eastAsia="en-GB"/>
        </w:rPr>
        <w:t>Using the report structure developed in 2018 (EWG 18-12)</w:t>
      </w:r>
      <w:r w:rsidR="00846485">
        <w:rPr>
          <w:lang w:eastAsia="en-GB"/>
        </w:rPr>
        <w:t xml:space="preserve">, </w:t>
      </w:r>
      <w:r>
        <w:t>provide a synoptic overview of: (i) the fishery; (ii) the most recent state of the stock (spawning stock biomass, stock biomass, recruits and exploitation level by fishing gear); (iii) the source of data and methods and; (iv) the management advice, including F</w:t>
      </w:r>
      <w:r>
        <w:rPr>
          <w:vertAlign w:val="subscript"/>
        </w:rPr>
        <w:t>MSY</w:t>
      </w:r>
      <w:r>
        <w:t xml:space="preserve"> valu</w:t>
      </w:r>
      <w:bookmarkStart w:id="0" w:name="_GoBack"/>
      <w:bookmarkEnd w:id="0"/>
      <w:r>
        <w:t>e, range of values, conservation reference points and effort levels.</w:t>
      </w:r>
      <w:r w:rsidR="006F3029">
        <w:t xml:space="preserve"> </w:t>
      </w:r>
    </w:p>
    <w:p w:rsidR="006B36DA" w:rsidRDefault="00742DEB">
      <w:pPr>
        <w:spacing w:before="840" w:after="240"/>
        <w:jc w:val="center"/>
      </w:pPr>
      <w:r>
        <w:rPr>
          <w:b/>
          <w:lang w:eastAsia="en-GB"/>
        </w:rPr>
        <w:t>Table</w:t>
      </w:r>
      <w:r>
        <w:rPr>
          <w:b/>
        </w:rPr>
        <w:t xml:space="preserve"> </w:t>
      </w:r>
      <w:r>
        <w:t>– List of suggested stocks to be assessed by the EWG 19-10.</w:t>
      </w:r>
    </w:p>
    <w:tbl>
      <w:tblPr>
        <w:tblW w:w="7082" w:type="dxa"/>
        <w:jc w:val="center"/>
        <w:tblBorders>
          <w:top w:val="single" w:sz="4" w:space="0" w:color="000001"/>
          <w:bottom w:val="single" w:sz="4" w:space="0" w:color="000001"/>
          <w:insideH w:val="single" w:sz="4" w:space="0" w:color="000001"/>
        </w:tblBorders>
        <w:tblLook w:val="0000" w:firstRow="0" w:lastRow="0" w:firstColumn="0" w:lastColumn="0" w:noHBand="0" w:noVBand="0"/>
      </w:tblPr>
      <w:tblGrid>
        <w:gridCol w:w="1979"/>
        <w:gridCol w:w="2551"/>
        <w:gridCol w:w="2552"/>
      </w:tblGrid>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jc w:val="left"/>
              <w:rPr>
                <w:rFonts w:eastAsia="Calibri"/>
                <w:b/>
                <w:bCs/>
                <w:sz w:val="22"/>
                <w:szCs w:val="22"/>
                <w:lang w:eastAsia="en-GB"/>
              </w:rPr>
            </w:pPr>
            <w:r>
              <w:rPr>
                <w:b/>
                <w:bCs/>
                <w:sz w:val="22"/>
                <w:szCs w:val="22"/>
                <w:lang w:eastAsia="en-GB"/>
              </w:rPr>
              <w:t>Area</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jc w:val="left"/>
              <w:rPr>
                <w:rFonts w:eastAsia="Calibri"/>
                <w:b/>
                <w:bCs/>
                <w:sz w:val="22"/>
                <w:szCs w:val="22"/>
                <w:lang w:eastAsia="en-GB"/>
              </w:rPr>
            </w:pPr>
            <w:r>
              <w:rPr>
                <w:b/>
                <w:bCs/>
                <w:sz w:val="22"/>
                <w:szCs w:val="22"/>
                <w:lang w:eastAsia="en-GB"/>
              </w:rPr>
              <w:t>Common name</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jc w:val="left"/>
              <w:rPr>
                <w:rFonts w:eastAsia="Calibri"/>
                <w:b/>
                <w:bCs/>
                <w:sz w:val="22"/>
                <w:szCs w:val="22"/>
                <w:lang w:eastAsia="en-GB"/>
              </w:rPr>
            </w:pPr>
            <w:r>
              <w:rPr>
                <w:b/>
                <w:bCs/>
                <w:sz w:val="22"/>
                <w:szCs w:val="22"/>
                <w:lang w:eastAsia="en-GB"/>
              </w:rPr>
              <w:t>Scientific name</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rFonts w:eastAsia="Calibri"/>
                <w:sz w:val="22"/>
                <w:szCs w:val="22"/>
                <w:lang w:eastAsia="en-GB"/>
              </w:rPr>
            </w:pPr>
            <w:r>
              <w:rPr>
                <w:sz w:val="22"/>
                <w:szCs w:val="22"/>
                <w:lang w:eastAsia="en-GB"/>
              </w:rPr>
              <w:t>GSA 1-5-6-7</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sz w:val="22"/>
                <w:szCs w:val="22"/>
                <w:lang w:eastAsia="en-GB"/>
              </w:rPr>
            </w:pPr>
            <w:r>
              <w:rPr>
                <w:rFonts w:eastAsia="Calibri"/>
                <w:sz w:val="22"/>
                <w:szCs w:val="22"/>
                <w:lang w:eastAsia="en-GB"/>
              </w:rPr>
              <w:t>Hake</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i/>
                <w:iCs/>
                <w:sz w:val="22"/>
                <w:szCs w:val="22"/>
                <w:lang w:eastAsia="en-GB"/>
              </w:rPr>
            </w:pPr>
            <w:r>
              <w:rPr>
                <w:rFonts w:eastAsia="Calibri"/>
                <w:i/>
                <w:iCs/>
                <w:sz w:val="22"/>
                <w:szCs w:val="22"/>
                <w:lang w:eastAsia="en-GB"/>
              </w:rPr>
              <w:t>Merluccius merluccius</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sz w:val="22"/>
                <w:szCs w:val="22"/>
                <w:lang w:eastAsia="en-GB"/>
              </w:rPr>
            </w:pPr>
            <w:r>
              <w:rPr>
                <w:sz w:val="22"/>
                <w:szCs w:val="22"/>
                <w:lang w:eastAsia="en-GB"/>
              </w:rPr>
              <w:t>GSA 1-5-6-7</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sz w:val="22"/>
                <w:szCs w:val="22"/>
                <w:lang w:eastAsia="en-GB"/>
              </w:rPr>
            </w:pPr>
            <w:r>
              <w:rPr>
                <w:rFonts w:eastAsia="Calibri"/>
                <w:sz w:val="22"/>
                <w:szCs w:val="22"/>
                <w:lang w:eastAsia="en-GB"/>
              </w:rPr>
              <w:t>Deep-water rose shrimp</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i/>
                <w:iCs/>
                <w:sz w:val="22"/>
                <w:szCs w:val="22"/>
                <w:lang w:eastAsia="en-GB"/>
              </w:rPr>
            </w:pPr>
            <w:r>
              <w:rPr>
                <w:rFonts w:eastAsia="Calibri"/>
                <w:i/>
                <w:iCs/>
                <w:sz w:val="22"/>
                <w:szCs w:val="22"/>
                <w:lang w:eastAsia="en-GB"/>
              </w:rPr>
              <w:t>Parapenaeus longirostris</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sz w:val="22"/>
                <w:szCs w:val="22"/>
                <w:lang w:eastAsia="en-GB"/>
              </w:rPr>
            </w:pPr>
            <w:r>
              <w:rPr>
                <w:sz w:val="22"/>
                <w:szCs w:val="22"/>
                <w:lang w:eastAsia="en-GB"/>
              </w:rPr>
              <w:t>GSA 1</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sz w:val="22"/>
                <w:szCs w:val="22"/>
                <w:lang w:eastAsia="en-GB"/>
              </w:rPr>
            </w:pPr>
            <w:r>
              <w:rPr>
                <w:rFonts w:eastAsia="Calibri"/>
                <w:sz w:val="22"/>
                <w:szCs w:val="22"/>
                <w:lang w:eastAsia="en-GB"/>
              </w:rPr>
              <w:t>Red mullet</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i/>
                <w:iCs/>
                <w:sz w:val="22"/>
                <w:szCs w:val="22"/>
                <w:lang w:eastAsia="en-GB"/>
              </w:rPr>
            </w:pPr>
            <w:r>
              <w:rPr>
                <w:rFonts w:eastAsia="Calibri"/>
                <w:i/>
                <w:iCs/>
                <w:sz w:val="22"/>
                <w:szCs w:val="22"/>
                <w:lang w:eastAsia="en-GB"/>
              </w:rPr>
              <w:t>Mullus barbatus</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sz w:val="22"/>
                <w:szCs w:val="22"/>
                <w:lang w:eastAsia="en-GB"/>
              </w:rPr>
            </w:pPr>
            <w:r>
              <w:rPr>
                <w:sz w:val="22"/>
                <w:szCs w:val="22"/>
                <w:lang w:eastAsia="en-GB"/>
              </w:rPr>
              <w:t>GSA 5</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335371">
            <w:pPr>
              <w:rPr>
                <w:rFonts w:eastAsia="Calibri"/>
                <w:sz w:val="22"/>
                <w:szCs w:val="22"/>
                <w:lang w:eastAsia="en-GB"/>
              </w:rPr>
            </w:pPr>
            <w:r w:rsidRPr="00335371">
              <w:rPr>
                <w:rFonts w:eastAsia="Calibri"/>
                <w:sz w:val="22"/>
                <w:szCs w:val="22"/>
                <w:lang w:eastAsia="en-GB"/>
              </w:rPr>
              <w:t>Striped red mullet</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rsidP="008859E3">
            <w:pPr>
              <w:rPr>
                <w:rFonts w:eastAsia="Calibri"/>
                <w:i/>
                <w:iCs/>
                <w:sz w:val="22"/>
                <w:szCs w:val="22"/>
                <w:lang w:eastAsia="en-GB"/>
              </w:rPr>
            </w:pPr>
            <w:r>
              <w:rPr>
                <w:rFonts w:eastAsia="Calibri"/>
                <w:i/>
                <w:iCs/>
                <w:sz w:val="22"/>
                <w:szCs w:val="22"/>
                <w:lang w:eastAsia="en-GB"/>
              </w:rPr>
              <w:t xml:space="preserve">Mullus </w:t>
            </w:r>
            <w:r w:rsidR="008859E3">
              <w:rPr>
                <w:rFonts w:eastAsia="Calibri"/>
                <w:i/>
                <w:iCs/>
                <w:sz w:val="22"/>
                <w:szCs w:val="22"/>
                <w:lang w:eastAsia="en-GB"/>
              </w:rPr>
              <w:t>surmuletus</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sz w:val="22"/>
                <w:szCs w:val="22"/>
                <w:lang w:eastAsia="en-GB"/>
              </w:rPr>
            </w:pPr>
            <w:r>
              <w:rPr>
                <w:sz w:val="22"/>
                <w:szCs w:val="22"/>
                <w:lang w:eastAsia="en-GB"/>
              </w:rPr>
              <w:t>GSA 6</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sz w:val="22"/>
                <w:szCs w:val="22"/>
                <w:lang w:eastAsia="en-GB"/>
              </w:rPr>
            </w:pPr>
            <w:r>
              <w:rPr>
                <w:rFonts w:eastAsia="Calibri"/>
                <w:sz w:val="22"/>
                <w:szCs w:val="22"/>
                <w:lang w:eastAsia="en-GB"/>
              </w:rPr>
              <w:t>Red mullet</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i/>
                <w:iCs/>
                <w:sz w:val="22"/>
                <w:szCs w:val="22"/>
                <w:lang w:eastAsia="en-GB"/>
              </w:rPr>
            </w:pPr>
            <w:r>
              <w:rPr>
                <w:rFonts w:eastAsia="Calibri"/>
                <w:i/>
                <w:iCs/>
                <w:sz w:val="22"/>
                <w:szCs w:val="22"/>
                <w:lang w:eastAsia="en-GB"/>
              </w:rPr>
              <w:t>Mullus barbatus</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sz w:val="22"/>
                <w:szCs w:val="22"/>
                <w:lang w:eastAsia="en-GB"/>
              </w:rPr>
            </w:pPr>
            <w:r>
              <w:rPr>
                <w:sz w:val="22"/>
                <w:szCs w:val="22"/>
                <w:lang w:eastAsia="en-GB"/>
              </w:rPr>
              <w:t>GSA 7</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sz w:val="22"/>
                <w:szCs w:val="22"/>
                <w:lang w:eastAsia="en-GB"/>
              </w:rPr>
            </w:pPr>
            <w:r>
              <w:rPr>
                <w:rFonts w:eastAsia="Calibri"/>
                <w:sz w:val="22"/>
                <w:szCs w:val="22"/>
                <w:lang w:eastAsia="en-GB"/>
              </w:rPr>
              <w:t>Red mullet</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i/>
                <w:iCs/>
                <w:sz w:val="22"/>
                <w:szCs w:val="22"/>
                <w:lang w:eastAsia="en-GB"/>
              </w:rPr>
            </w:pPr>
            <w:r>
              <w:rPr>
                <w:rFonts w:eastAsia="Calibri"/>
                <w:i/>
                <w:iCs/>
                <w:sz w:val="22"/>
                <w:szCs w:val="22"/>
                <w:lang w:eastAsia="en-GB"/>
              </w:rPr>
              <w:t>Mullus barbatus</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sz w:val="22"/>
                <w:szCs w:val="22"/>
                <w:lang w:eastAsia="en-GB"/>
              </w:rPr>
            </w:pPr>
            <w:r>
              <w:rPr>
                <w:sz w:val="22"/>
                <w:szCs w:val="22"/>
                <w:lang w:eastAsia="en-GB"/>
              </w:rPr>
              <w:t>GSA 5</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sz w:val="22"/>
                <w:szCs w:val="22"/>
                <w:lang w:eastAsia="en-GB"/>
              </w:rPr>
            </w:pPr>
            <w:r>
              <w:rPr>
                <w:sz w:val="22"/>
                <w:szCs w:val="22"/>
                <w:lang w:eastAsia="en-GB"/>
              </w:rPr>
              <w:t>Norway lobster</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i/>
                <w:iCs/>
                <w:sz w:val="22"/>
                <w:szCs w:val="22"/>
                <w:lang w:eastAsia="en-GB"/>
              </w:rPr>
            </w:pPr>
            <w:r>
              <w:rPr>
                <w:rFonts w:eastAsia="Calibri"/>
                <w:i/>
                <w:iCs/>
                <w:sz w:val="22"/>
                <w:szCs w:val="22"/>
                <w:lang w:eastAsia="en-GB"/>
              </w:rPr>
              <w:t>Nephrops norvegicus</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sz w:val="22"/>
                <w:szCs w:val="22"/>
                <w:lang w:eastAsia="en-GB"/>
              </w:rPr>
            </w:pPr>
            <w:r>
              <w:rPr>
                <w:sz w:val="22"/>
                <w:szCs w:val="22"/>
                <w:lang w:eastAsia="en-GB"/>
              </w:rPr>
              <w:t>GSA 6</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sz w:val="22"/>
                <w:szCs w:val="22"/>
                <w:lang w:eastAsia="en-GB"/>
              </w:rPr>
            </w:pPr>
            <w:r>
              <w:rPr>
                <w:sz w:val="22"/>
                <w:szCs w:val="22"/>
                <w:lang w:eastAsia="en-GB"/>
              </w:rPr>
              <w:t>Norway lobster</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i/>
                <w:iCs/>
                <w:sz w:val="22"/>
                <w:szCs w:val="22"/>
                <w:lang w:eastAsia="en-GB"/>
              </w:rPr>
            </w:pPr>
            <w:r>
              <w:rPr>
                <w:rFonts w:eastAsia="Calibri"/>
                <w:i/>
                <w:iCs/>
                <w:sz w:val="22"/>
                <w:szCs w:val="22"/>
                <w:lang w:eastAsia="en-GB"/>
              </w:rPr>
              <w:t>Nephrops norvegicus</w:t>
            </w:r>
          </w:p>
        </w:tc>
      </w:tr>
      <w:tr w:rsidR="006B36DA">
        <w:trPr>
          <w:trHeight w:val="80"/>
          <w:jc w:val="center"/>
        </w:trPr>
        <w:tc>
          <w:tcPr>
            <w:tcW w:w="1979" w:type="dxa"/>
            <w:tcBorders>
              <w:top w:val="single" w:sz="4" w:space="0" w:color="000001"/>
              <w:bottom w:val="single" w:sz="4" w:space="0" w:color="000001"/>
            </w:tcBorders>
            <w:shd w:val="clear" w:color="auto" w:fill="auto"/>
            <w:vAlign w:val="center"/>
          </w:tcPr>
          <w:p w:rsidR="006B36DA" w:rsidRDefault="006B36DA">
            <w:pPr>
              <w:snapToGrid w:val="0"/>
              <w:rPr>
                <w:rFonts w:eastAsia="Calibri"/>
                <w:i/>
                <w:iCs/>
                <w:sz w:val="14"/>
                <w:szCs w:val="14"/>
                <w:lang w:eastAsia="en-GB"/>
              </w:rPr>
            </w:pP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6B36DA">
            <w:pPr>
              <w:snapToGrid w:val="0"/>
              <w:rPr>
                <w:sz w:val="14"/>
                <w:szCs w:val="14"/>
                <w:lang w:eastAsia="en-GB"/>
              </w:rPr>
            </w:pP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6B36DA">
            <w:pPr>
              <w:snapToGrid w:val="0"/>
              <w:rPr>
                <w:rFonts w:eastAsia="Calibri"/>
                <w:i/>
                <w:iCs/>
                <w:sz w:val="14"/>
                <w:szCs w:val="14"/>
                <w:lang w:eastAsia="en-GB"/>
              </w:rPr>
            </w:pP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rFonts w:eastAsia="Calibri"/>
                <w:sz w:val="22"/>
                <w:szCs w:val="22"/>
                <w:lang w:eastAsia="en-GB"/>
              </w:rPr>
            </w:pPr>
            <w:r>
              <w:rPr>
                <w:sz w:val="22"/>
                <w:szCs w:val="22"/>
                <w:lang w:eastAsia="en-GB"/>
              </w:rPr>
              <w:t>GSA 9-10-11</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sz w:val="22"/>
                <w:szCs w:val="22"/>
                <w:lang w:eastAsia="en-GB"/>
              </w:rPr>
            </w:pPr>
            <w:r>
              <w:rPr>
                <w:rFonts w:eastAsia="Calibri"/>
                <w:sz w:val="22"/>
                <w:szCs w:val="22"/>
                <w:lang w:eastAsia="en-GB"/>
              </w:rPr>
              <w:t>Hake</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i/>
                <w:iCs/>
                <w:sz w:val="22"/>
                <w:szCs w:val="22"/>
                <w:lang w:eastAsia="en-GB"/>
              </w:rPr>
            </w:pPr>
            <w:r>
              <w:rPr>
                <w:rFonts w:eastAsia="Calibri"/>
                <w:i/>
                <w:iCs/>
                <w:sz w:val="22"/>
                <w:szCs w:val="22"/>
                <w:lang w:eastAsia="en-GB"/>
              </w:rPr>
              <w:t>Merluccius merluccius</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sz w:val="22"/>
                <w:szCs w:val="22"/>
                <w:lang w:eastAsia="en-GB"/>
              </w:rPr>
            </w:pPr>
            <w:r>
              <w:rPr>
                <w:sz w:val="22"/>
                <w:szCs w:val="22"/>
                <w:lang w:eastAsia="en-GB"/>
              </w:rPr>
              <w:t>GSA 9-10-11</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sz w:val="22"/>
                <w:szCs w:val="22"/>
                <w:lang w:eastAsia="en-GB"/>
              </w:rPr>
            </w:pPr>
            <w:r>
              <w:rPr>
                <w:rFonts w:eastAsia="Calibri"/>
                <w:sz w:val="22"/>
                <w:szCs w:val="22"/>
                <w:lang w:eastAsia="en-GB"/>
              </w:rPr>
              <w:t>Deep-water rose shrimp</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i/>
                <w:iCs/>
                <w:sz w:val="22"/>
                <w:szCs w:val="22"/>
                <w:lang w:eastAsia="en-GB"/>
              </w:rPr>
            </w:pPr>
            <w:r>
              <w:rPr>
                <w:rFonts w:eastAsia="Calibri"/>
                <w:i/>
                <w:iCs/>
                <w:sz w:val="22"/>
                <w:szCs w:val="22"/>
                <w:lang w:eastAsia="en-GB"/>
              </w:rPr>
              <w:t>Parapenaeus longirostris</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sz w:val="22"/>
                <w:szCs w:val="22"/>
                <w:lang w:eastAsia="en-GB"/>
              </w:rPr>
            </w:pPr>
            <w:r>
              <w:rPr>
                <w:sz w:val="22"/>
                <w:szCs w:val="22"/>
                <w:lang w:eastAsia="en-GB"/>
              </w:rPr>
              <w:t>GSA 9</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sz w:val="22"/>
                <w:szCs w:val="22"/>
                <w:lang w:eastAsia="en-GB"/>
              </w:rPr>
            </w:pPr>
            <w:r>
              <w:rPr>
                <w:rFonts w:eastAsia="Calibri"/>
                <w:sz w:val="22"/>
                <w:szCs w:val="22"/>
                <w:lang w:eastAsia="en-GB"/>
              </w:rPr>
              <w:t>Red mullet</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i/>
                <w:iCs/>
                <w:sz w:val="22"/>
                <w:szCs w:val="22"/>
                <w:lang w:eastAsia="en-GB"/>
              </w:rPr>
            </w:pPr>
            <w:r>
              <w:rPr>
                <w:rFonts w:eastAsia="Calibri"/>
                <w:i/>
                <w:iCs/>
                <w:sz w:val="22"/>
                <w:szCs w:val="22"/>
                <w:lang w:eastAsia="en-GB"/>
              </w:rPr>
              <w:t>Mullus barbatus</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sz w:val="22"/>
                <w:szCs w:val="22"/>
                <w:lang w:eastAsia="en-GB"/>
              </w:rPr>
            </w:pPr>
            <w:r>
              <w:rPr>
                <w:sz w:val="22"/>
                <w:szCs w:val="22"/>
                <w:lang w:eastAsia="en-GB"/>
              </w:rPr>
              <w:t>GSA 10</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sz w:val="22"/>
                <w:szCs w:val="22"/>
                <w:lang w:eastAsia="en-GB"/>
              </w:rPr>
            </w:pPr>
            <w:r>
              <w:rPr>
                <w:rFonts w:eastAsia="Calibri"/>
                <w:sz w:val="22"/>
                <w:szCs w:val="22"/>
                <w:lang w:eastAsia="en-GB"/>
              </w:rPr>
              <w:t>Red mullet</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i/>
                <w:iCs/>
                <w:sz w:val="22"/>
                <w:szCs w:val="22"/>
                <w:lang w:eastAsia="en-GB"/>
              </w:rPr>
            </w:pPr>
            <w:r>
              <w:rPr>
                <w:rFonts w:eastAsia="Calibri"/>
                <w:i/>
                <w:iCs/>
                <w:sz w:val="22"/>
                <w:szCs w:val="22"/>
                <w:lang w:eastAsia="en-GB"/>
              </w:rPr>
              <w:t>Mullus barbatus</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sz w:val="22"/>
                <w:szCs w:val="22"/>
                <w:lang w:eastAsia="en-GB"/>
              </w:rPr>
            </w:pPr>
            <w:r>
              <w:rPr>
                <w:sz w:val="22"/>
                <w:szCs w:val="22"/>
                <w:lang w:eastAsia="en-GB"/>
              </w:rPr>
              <w:t>GSA 9</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sz w:val="22"/>
                <w:szCs w:val="22"/>
                <w:lang w:eastAsia="en-GB"/>
              </w:rPr>
            </w:pPr>
            <w:r>
              <w:rPr>
                <w:sz w:val="22"/>
                <w:szCs w:val="22"/>
                <w:lang w:eastAsia="en-GB"/>
              </w:rPr>
              <w:t>Norway lobster</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i/>
                <w:iCs/>
                <w:sz w:val="22"/>
                <w:szCs w:val="22"/>
                <w:lang w:eastAsia="en-GB"/>
              </w:rPr>
            </w:pPr>
            <w:r>
              <w:rPr>
                <w:rFonts w:eastAsia="Calibri"/>
                <w:i/>
                <w:iCs/>
                <w:sz w:val="22"/>
                <w:szCs w:val="22"/>
                <w:lang w:eastAsia="en-GB"/>
              </w:rPr>
              <w:t>Nephrops norvegicus</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rFonts w:eastAsia="Calibri"/>
                <w:sz w:val="22"/>
                <w:szCs w:val="22"/>
                <w:lang w:eastAsia="en-GB"/>
              </w:rPr>
            </w:pPr>
            <w:r>
              <w:rPr>
                <w:sz w:val="22"/>
                <w:szCs w:val="22"/>
                <w:lang w:eastAsia="en-GB"/>
              </w:rPr>
              <w:t>GSA 11</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sz w:val="22"/>
                <w:szCs w:val="22"/>
                <w:lang w:eastAsia="en-GB"/>
              </w:rPr>
            </w:pPr>
            <w:r>
              <w:rPr>
                <w:sz w:val="22"/>
                <w:szCs w:val="22"/>
                <w:lang w:eastAsia="en-GB"/>
              </w:rPr>
              <w:t>Norway lobster</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i/>
                <w:iCs/>
                <w:sz w:val="22"/>
                <w:szCs w:val="22"/>
                <w:lang w:eastAsia="en-GB"/>
              </w:rPr>
            </w:pPr>
            <w:r>
              <w:rPr>
                <w:rFonts w:eastAsia="Calibri"/>
                <w:i/>
                <w:iCs/>
                <w:sz w:val="22"/>
                <w:szCs w:val="22"/>
                <w:lang w:eastAsia="en-GB"/>
              </w:rPr>
              <w:t>Nephrops norvegicus</w:t>
            </w:r>
          </w:p>
        </w:tc>
      </w:tr>
      <w:tr w:rsidR="006B36DA">
        <w:trPr>
          <w:trHeight w:val="80"/>
          <w:jc w:val="center"/>
        </w:trPr>
        <w:tc>
          <w:tcPr>
            <w:tcW w:w="1979" w:type="dxa"/>
            <w:tcBorders>
              <w:top w:val="single" w:sz="4" w:space="0" w:color="000001"/>
              <w:bottom w:val="single" w:sz="4" w:space="0" w:color="000001"/>
            </w:tcBorders>
            <w:shd w:val="clear" w:color="auto" w:fill="auto"/>
            <w:vAlign w:val="center"/>
          </w:tcPr>
          <w:p w:rsidR="006B36DA" w:rsidRDefault="006B36DA">
            <w:pPr>
              <w:snapToGrid w:val="0"/>
              <w:rPr>
                <w:rFonts w:eastAsia="Calibri"/>
                <w:i/>
                <w:iCs/>
                <w:color w:val="C00000"/>
                <w:sz w:val="14"/>
                <w:szCs w:val="14"/>
                <w:lang w:eastAsia="en-GB"/>
              </w:rPr>
            </w:pP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6B36DA">
            <w:pPr>
              <w:snapToGrid w:val="0"/>
              <w:rPr>
                <w:rFonts w:eastAsia="Calibri"/>
                <w:sz w:val="14"/>
                <w:szCs w:val="14"/>
                <w:lang w:eastAsia="en-GB"/>
              </w:rPr>
            </w:pP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6B36DA">
            <w:pPr>
              <w:snapToGrid w:val="0"/>
              <w:rPr>
                <w:rFonts w:eastAsia="Calibri"/>
                <w:i/>
                <w:iCs/>
                <w:sz w:val="14"/>
                <w:szCs w:val="14"/>
                <w:lang w:eastAsia="en-GB"/>
              </w:rPr>
            </w:pP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rsidP="00335371">
            <w:pPr>
              <w:rPr>
                <w:sz w:val="22"/>
                <w:szCs w:val="22"/>
                <w:lang w:eastAsia="en-GB"/>
              </w:rPr>
            </w:pPr>
            <w:r>
              <w:rPr>
                <w:sz w:val="22"/>
                <w:szCs w:val="22"/>
                <w:lang w:eastAsia="en-GB"/>
              </w:rPr>
              <w:t>GSA 1</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rFonts w:eastAsia="Calibri"/>
                <w:sz w:val="22"/>
                <w:szCs w:val="22"/>
                <w:lang w:eastAsia="en-GB"/>
              </w:rPr>
            </w:pPr>
            <w:r>
              <w:rPr>
                <w:rFonts w:eastAsia="Calibri"/>
                <w:sz w:val="22"/>
                <w:szCs w:val="22"/>
                <w:lang w:eastAsia="en-GB"/>
              </w:rPr>
              <w:t>Blue and red shrimp</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i/>
                <w:iCs/>
                <w:sz w:val="22"/>
                <w:szCs w:val="22"/>
                <w:lang w:eastAsia="en-GB"/>
              </w:rPr>
            </w:pPr>
            <w:r>
              <w:rPr>
                <w:i/>
                <w:iCs/>
                <w:sz w:val="22"/>
                <w:szCs w:val="22"/>
                <w:lang w:eastAsia="en-GB"/>
              </w:rPr>
              <w:t>Aristeus antennatus</w:t>
            </w:r>
            <w:r w:rsidR="00EB78C6">
              <w:rPr>
                <w:i/>
                <w:iCs/>
                <w:sz w:val="22"/>
                <w:szCs w:val="22"/>
                <w:lang w:eastAsia="en-GB"/>
              </w:rPr>
              <w:t xml:space="preserve"> </w:t>
            </w:r>
          </w:p>
        </w:tc>
      </w:tr>
      <w:tr w:rsidR="006B36DA" w:rsidRPr="00335371">
        <w:trPr>
          <w:trHeight w:val="300"/>
          <w:jc w:val="center"/>
        </w:trPr>
        <w:tc>
          <w:tcPr>
            <w:tcW w:w="1979" w:type="dxa"/>
            <w:tcBorders>
              <w:top w:val="single" w:sz="4" w:space="0" w:color="000001"/>
              <w:bottom w:val="single" w:sz="4" w:space="0" w:color="000001"/>
            </w:tcBorders>
            <w:shd w:val="clear" w:color="auto" w:fill="auto"/>
            <w:vAlign w:val="center"/>
          </w:tcPr>
          <w:p w:rsidR="006B36DA" w:rsidRPr="00335371" w:rsidRDefault="00742DEB">
            <w:pPr>
              <w:rPr>
                <w:sz w:val="22"/>
                <w:szCs w:val="22"/>
                <w:lang w:eastAsia="en-GB"/>
              </w:rPr>
            </w:pPr>
            <w:r w:rsidRPr="00335371">
              <w:rPr>
                <w:sz w:val="22"/>
                <w:szCs w:val="22"/>
                <w:lang w:eastAsia="en-GB"/>
              </w:rPr>
              <w:t>GSA 5</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Pr="00335371" w:rsidRDefault="00742DEB">
            <w:pPr>
              <w:rPr>
                <w:rFonts w:eastAsia="Calibri"/>
                <w:sz w:val="22"/>
                <w:szCs w:val="22"/>
                <w:lang w:eastAsia="en-GB"/>
              </w:rPr>
            </w:pPr>
            <w:r w:rsidRPr="00335371">
              <w:rPr>
                <w:rFonts w:eastAsia="Calibri"/>
                <w:sz w:val="22"/>
                <w:szCs w:val="22"/>
                <w:lang w:eastAsia="en-GB"/>
              </w:rPr>
              <w:t>Blue and red shrimp</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Pr="00335371" w:rsidRDefault="00742DEB">
            <w:pPr>
              <w:rPr>
                <w:i/>
                <w:iCs/>
                <w:sz w:val="22"/>
                <w:szCs w:val="22"/>
                <w:lang w:eastAsia="en-GB"/>
              </w:rPr>
            </w:pPr>
            <w:r w:rsidRPr="00335371">
              <w:rPr>
                <w:i/>
                <w:iCs/>
                <w:sz w:val="22"/>
                <w:szCs w:val="22"/>
                <w:lang w:eastAsia="en-GB"/>
              </w:rPr>
              <w:t>Aristeus antennatus</w:t>
            </w:r>
            <w:r w:rsidR="00335371">
              <w:rPr>
                <w:i/>
                <w:iCs/>
                <w:sz w:val="22"/>
                <w:szCs w:val="22"/>
                <w:lang w:eastAsia="en-GB"/>
              </w:rPr>
              <w:t xml:space="preserve"> </w:t>
            </w:r>
            <w:r w:rsidRPr="00742DEB">
              <w:rPr>
                <w:iCs/>
                <w:sz w:val="22"/>
                <w:szCs w:val="22"/>
                <w:lang w:eastAsia="en-GB"/>
              </w:rPr>
              <w:t>(</w:t>
            </w:r>
            <w:r w:rsidR="00335371" w:rsidRPr="00742DEB">
              <w:rPr>
                <w:iCs/>
                <w:sz w:val="22"/>
                <w:szCs w:val="22"/>
                <w:lang w:eastAsia="en-GB"/>
              </w:rPr>
              <w:t>*</w:t>
            </w:r>
            <w:r w:rsidRPr="00742DEB">
              <w:rPr>
                <w:iCs/>
                <w:sz w:val="22"/>
                <w:szCs w:val="22"/>
                <w:lang w:eastAsia="en-GB"/>
              </w:rPr>
              <w:t>)</w:t>
            </w:r>
          </w:p>
        </w:tc>
      </w:tr>
      <w:tr w:rsidR="006B36DA" w:rsidRPr="00335371">
        <w:trPr>
          <w:trHeight w:val="300"/>
          <w:jc w:val="center"/>
        </w:trPr>
        <w:tc>
          <w:tcPr>
            <w:tcW w:w="1979" w:type="dxa"/>
            <w:tcBorders>
              <w:top w:val="single" w:sz="4" w:space="0" w:color="000001"/>
              <w:bottom w:val="single" w:sz="4" w:space="0" w:color="000001"/>
            </w:tcBorders>
            <w:shd w:val="clear" w:color="auto" w:fill="auto"/>
            <w:vAlign w:val="center"/>
          </w:tcPr>
          <w:p w:rsidR="006B36DA" w:rsidRPr="00335371" w:rsidRDefault="00742DEB">
            <w:pPr>
              <w:rPr>
                <w:sz w:val="22"/>
                <w:szCs w:val="22"/>
                <w:lang w:eastAsia="en-GB"/>
              </w:rPr>
            </w:pPr>
            <w:r w:rsidRPr="00335371">
              <w:rPr>
                <w:sz w:val="22"/>
                <w:szCs w:val="22"/>
                <w:lang w:eastAsia="en-GB"/>
              </w:rPr>
              <w:t>GSA 6-7</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Pr="00335371" w:rsidRDefault="00742DEB">
            <w:pPr>
              <w:rPr>
                <w:rFonts w:eastAsia="Calibri"/>
                <w:sz w:val="22"/>
                <w:szCs w:val="22"/>
                <w:lang w:eastAsia="en-GB"/>
              </w:rPr>
            </w:pPr>
            <w:r w:rsidRPr="00335371">
              <w:rPr>
                <w:rFonts w:eastAsia="Calibri"/>
                <w:sz w:val="22"/>
                <w:szCs w:val="22"/>
                <w:lang w:eastAsia="en-GB"/>
              </w:rPr>
              <w:t>Blue and red shrimp</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Pr="00335371" w:rsidRDefault="00742DEB">
            <w:pPr>
              <w:rPr>
                <w:i/>
                <w:iCs/>
                <w:sz w:val="22"/>
                <w:szCs w:val="22"/>
                <w:lang w:eastAsia="en-GB"/>
              </w:rPr>
            </w:pPr>
            <w:r w:rsidRPr="00335371">
              <w:rPr>
                <w:i/>
                <w:iCs/>
                <w:sz w:val="22"/>
                <w:szCs w:val="22"/>
                <w:lang w:eastAsia="en-GB"/>
              </w:rPr>
              <w:t>Aristeus antennatus</w:t>
            </w:r>
            <w:r w:rsidR="00335371">
              <w:rPr>
                <w:i/>
                <w:iCs/>
                <w:sz w:val="22"/>
                <w:szCs w:val="22"/>
                <w:lang w:eastAsia="en-GB"/>
              </w:rPr>
              <w:t xml:space="preserve"> </w:t>
            </w:r>
            <w:r w:rsidRPr="00742DEB">
              <w:rPr>
                <w:iCs/>
                <w:sz w:val="22"/>
                <w:szCs w:val="22"/>
                <w:lang w:eastAsia="en-GB"/>
              </w:rPr>
              <w:t>(</w:t>
            </w:r>
            <w:r w:rsidR="00335371" w:rsidRPr="00742DEB">
              <w:rPr>
                <w:iCs/>
                <w:sz w:val="22"/>
                <w:szCs w:val="22"/>
                <w:lang w:eastAsia="en-GB"/>
              </w:rPr>
              <w:t>*</w:t>
            </w:r>
            <w:r w:rsidRPr="00742DEB">
              <w:rPr>
                <w:iCs/>
                <w:sz w:val="22"/>
                <w:szCs w:val="22"/>
                <w:lang w:eastAsia="en-GB"/>
              </w:rPr>
              <w:t>)</w:t>
            </w:r>
          </w:p>
        </w:tc>
      </w:tr>
      <w:tr w:rsidR="006B36DA">
        <w:trPr>
          <w:trHeight w:val="300"/>
          <w:jc w:val="center"/>
        </w:trPr>
        <w:tc>
          <w:tcPr>
            <w:tcW w:w="1979" w:type="dxa"/>
            <w:tcBorders>
              <w:top w:val="single" w:sz="4" w:space="0" w:color="000001"/>
              <w:bottom w:val="single" w:sz="4" w:space="0" w:color="000001"/>
            </w:tcBorders>
            <w:shd w:val="clear" w:color="auto" w:fill="auto"/>
            <w:vAlign w:val="center"/>
          </w:tcPr>
          <w:p w:rsidR="006B36DA" w:rsidRDefault="00742DEB">
            <w:pPr>
              <w:rPr>
                <w:sz w:val="22"/>
                <w:szCs w:val="22"/>
                <w:lang w:eastAsia="en-GB"/>
              </w:rPr>
            </w:pPr>
            <w:r>
              <w:rPr>
                <w:sz w:val="22"/>
                <w:szCs w:val="22"/>
                <w:lang w:eastAsia="en-GB"/>
              </w:rPr>
              <w:t>GSA 9-10-11</w:t>
            </w:r>
          </w:p>
        </w:tc>
        <w:tc>
          <w:tcPr>
            <w:tcW w:w="2551"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sz w:val="22"/>
                <w:szCs w:val="22"/>
                <w:lang w:eastAsia="en-GB"/>
              </w:rPr>
            </w:pPr>
            <w:r>
              <w:rPr>
                <w:sz w:val="22"/>
                <w:szCs w:val="22"/>
                <w:lang w:eastAsia="en-GB"/>
              </w:rPr>
              <w:t>Giant red shrimp</w:t>
            </w:r>
          </w:p>
        </w:tc>
        <w:tc>
          <w:tcPr>
            <w:tcW w:w="2552" w:type="dxa"/>
            <w:tcBorders>
              <w:top w:val="single" w:sz="4" w:space="0" w:color="000001"/>
              <w:bottom w:val="single" w:sz="4" w:space="0" w:color="000001"/>
            </w:tcBorders>
            <w:shd w:val="clear" w:color="auto" w:fill="auto"/>
            <w:tcMar>
              <w:left w:w="0" w:type="dxa"/>
              <w:right w:w="0" w:type="dxa"/>
            </w:tcMar>
            <w:vAlign w:val="center"/>
          </w:tcPr>
          <w:p w:rsidR="006B36DA" w:rsidRDefault="00742DEB">
            <w:pPr>
              <w:rPr>
                <w:i/>
                <w:iCs/>
                <w:sz w:val="22"/>
                <w:szCs w:val="22"/>
                <w:lang w:eastAsia="en-GB"/>
              </w:rPr>
            </w:pPr>
            <w:r>
              <w:rPr>
                <w:i/>
                <w:iCs/>
                <w:sz w:val="22"/>
                <w:szCs w:val="22"/>
                <w:lang w:eastAsia="en-GB"/>
              </w:rPr>
              <w:t>Aristaeomorpha foliacea</w:t>
            </w:r>
          </w:p>
        </w:tc>
      </w:tr>
      <w:tr w:rsidR="00335371">
        <w:trPr>
          <w:trHeight w:val="300"/>
          <w:jc w:val="center"/>
        </w:trPr>
        <w:tc>
          <w:tcPr>
            <w:tcW w:w="1979" w:type="dxa"/>
            <w:tcBorders>
              <w:top w:val="single" w:sz="4" w:space="0" w:color="000001"/>
              <w:bottom w:val="single" w:sz="4" w:space="0" w:color="000001"/>
            </w:tcBorders>
            <w:shd w:val="clear" w:color="auto" w:fill="auto"/>
            <w:vAlign w:val="center"/>
          </w:tcPr>
          <w:p w:rsidR="00335371" w:rsidRDefault="00335371" w:rsidP="00335371">
            <w:pPr>
              <w:rPr>
                <w:sz w:val="22"/>
                <w:szCs w:val="22"/>
                <w:lang w:eastAsia="en-GB"/>
              </w:rPr>
            </w:pPr>
            <w:r>
              <w:rPr>
                <w:sz w:val="22"/>
                <w:szCs w:val="22"/>
                <w:lang w:eastAsia="en-GB"/>
              </w:rPr>
              <w:t>GSA 9-10-11</w:t>
            </w:r>
          </w:p>
        </w:tc>
        <w:tc>
          <w:tcPr>
            <w:tcW w:w="2551" w:type="dxa"/>
            <w:tcBorders>
              <w:top w:val="single" w:sz="4" w:space="0" w:color="000001"/>
              <w:bottom w:val="single" w:sz="4" w:space="0" w:color="000001"/>
            </w:tcBorders>
            <w:shd w:val="clear" w:color="auto" w:fill="auto"/>
            <w:tcMar>
              <w:left w:w="0" w:type="dxa"/>
              <w:right w:w="0" w:type="dxa"/>
            </w:tcMar>
            <w:vAlign w:val="center"/>
          </w:tcPr>
          <w:p w:rsidR="00335371" w:rsidRDefault="00335371" w:rsidP="00335371">
            <w:pPr>
              <w:rPr>
                <w:rFonts w:eastAsia="Calibri"/>
                <w:sz w:val="22"/>
                <w:szCs w:val="22"/>
                <w:lang w:eastAsia="en-GB"/>
              </w:rPr>
            </w:pPr>
            <w:r>
              <w:rPr>
                <w:rFonts w:eastAsia="Calibri"/>
                <w:sz w:val="22"/>
                <w:szCs w:val="22"/>
                <w:lang w:eastAsia="en-GB"/>
              </w:rPr>
              <w:t>Blue and red shrimp</w:t>
            </w:r>
          </w:p>
        </w:tc>
        <w:tc>
          <w:tcPr>
            <w:tcW w:w="2552" w:type="dxa"/>
            <w:tcBorders>
              <w:top w:val="single" w:sz="4" w:space="0" w:color="000001"/>
              <w:bottom w:val="single" w:sz="4" w:space="0" w:color="000001"/>
            </w:tcBorders>
            <w:shd w:val="clear" w:color="auto" w:fill="auto"/>
            <w:tcMar>
              <w:left w:w="0" w:type="dxa"/>
              <w:right w:w="0" w:type="dxa"/>
            </w:tcMar>
            <w:vAlign w:val="center"/>
          </w:tcPr>
          <w:p w:rsidR="00335371" w:rsidRDefault="00335371" w:rsidP="00335371">
            <w:pPr>
              <w:rPr>
                <w:i/>
                <w:iCs/>
                <w:sz w:val="22"/>
                <w:szCs w:val="22"/>
                <w:lang w:eastAsia="en-GB"/>
              </w:rPr>
            </w:pPr>
            <w:r>
              <w:rPr>
                <w:i/>
                <w:iCs/>
                <w:sz w:val="22"/>
                <w:szCs w:val="22"/>
                <w:lang w:eastAsia="en-GB"/>
              </w:rPr>
              <w:t>Aristeus antennatus</w:t>
            </w:r>
          </w:p>
        </w:tc>
      </w:tr>
    </w:tbl>
    <w:p w:rsidR="006B36DA" w:rsidRDefault="00742DEB" w:rsidP="00742DEB">
      <w:pPr>
        <w:spacing w:before="480"/>
        <w:ind w:left="1276" w:right="1160"/>
        <w:jc w:val="left"/>
      </w:pPr>
      <w:r>
        <w:t xml:space="preserve">(*) </w:t>
      </w:r>
      <w:r w:rsidRPr="00742DEB">
        <w:t xml:space="preserve">Explore the possibility to merge </w:t>
      </w:r>
      <w:r>
        <w:t xml:space="preserve">blue and red shrimp in </w:t>
      </w:r>
      <w:r w:rsidRPr="00742DEB">
        <w:t>GSAs 5-6-</w:t>
      </w:r>
      <w:r>
        <w:t>7.</w:t>
      </w:r>
    </w:p>
    <w:sectPr w:rsidR="006B36DA">
      <w:footerReference w:type="default" r:id="rId9"/>
      <w:pgSz w:w="11906" w:h="16838"/>
      <w:pgMar w:top="1191" w:right="1191" w:bottom="1191" w:left="1191" w:header="0"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B4" w:rsidRDefault="00851BB4">
      <w:r>
        <w:separator/>
      </w:r>
    </w:p>
  </w:endnote>
  <w:endnote w:type="continuationSeparator" w:id="0">
    <w:p w:rsidR="00851BB4" w:rsidRDefault="0085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新細明體">
    <w:panose1 w:val="00000000000000000000"/>
    <w:charset w:val="80"/>
    <w:family w:val="roman"/>
    <w:notTrueType/>
    <w:pitch w:val="default"/>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DA" w:rsidRDefault="00742DEB">
    <w:pPr>
      <w:pStyle w:val="Footer"/>
      <w:jc w:val="center"/>
    </w:pPr>
    <w:r>
      <w:fldChar w:fldCharType="begin"/>
    </w:r>
    <w:r>
      <w:instrText>PAGE</w:instrText>
    </w:r>
    <w:r>
      <w:fldChar w:fldCharType="separate"/>
    </w:r>
    <w:r w:rsidR="008464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B4" w:rsidRDefault="00851BB4">
      <w:r>
        <w:separator/>
      </w:r>
    </w:p>
  </w:footnote>
  <w:footnote w:type="continuationSeparator" w:id="0">
    <w:p w:rsidR="00851BB4" w:rsidRDefault="00851BB4">
      <w:r>
        <w:continuationSeparator/>
      </w:r>
    </w:p>
  </w:footnote>
  <w:footnote w:id="1">
    <w:p w:rsidR="006B36DA" w:rsidRDefault="00742DEB">
      <w:pPr>
        <w:pStyle w:val="FootnoteText"/>
        <w:jc w:val="both"/>
      </w:pPr>
      <w:r>
        <w:rPr>
          <w:rFonts w:eastAsia="Times New Roman"/>
        </w:rPr>
        <w:footnoteRef/>
      </w:r>
      <w:r>
        <w:rPr>
          <w:rFonts w:eastAsia="Times New Roman"/>
        </w:rPr>
        <w:tab/>
        <w:t xml:space="preserve"> </w:t>
      </w:r>
      <w:r>
        <w:t xml:space="preserve">Scientific, Technical and Economic Committee for Fisheries (STECF) – Methodology for the Stock Assessments in the Mediterranean Sea (STECF-17-07). Publications Office of the European Union, Luxembourg, 2017, ISBN 978-92-79-67479-2, doi:10.2760/106023, </w:t>
      </w:r>
      <w:hyperlink r:id="rId1">
        <w:r>
          <w:rPr>
            <w:rStyle w:val="InternetLink"/>
          </w:rPr>
          <w:t>JRC107583</w:t>
        </w:r>
      </w:hyperlink>
      <w:r>
        <w:t>.</w:t>
      </w:r>
    </w:p>
  </w:footnote>
  <w:footnote w:id="2">
    <w:p w:rsidR="00EB78C6" w:rsidRPr="00EB78C6" w:rsidRDefault="00EB78C6" w:rsidP="00EB78C6">
      <w:pPr>
        <w:pStyle w:val="FootnoteText"/>
        <w:jc w:val="both"/>
        <w:rPr>
          <w:lang w:val="fr-BE"/>
        </w:rPr>
      </w:pPr>
      <w:r>
        <w:rPr>
          <w:rStyle w:val="FootnoteReference"/>
        </w:rPr>
        <w:footnoteRef/>
      </w:r>
      <w:r>
        <w:t xml:space="preserve"> </w:t>
      </w:r>
      <w:r w:rsidRPr="00EB78C6">
        <w:t xml:space="preserve">Framework Contract for the provision of scientific advice for the </w:t>
      </w:r>
      <w:r>
        <w:t>M</w:t>
      </w:r>
      <w:r w:rsidRPr="00EB78C6">
        <w:t>editerranean and Black Seas (EASME/EMFF/2016/032). Specific contract N° 1: Recovery of fisheries historical time series for Mediterranean and Black Sea stock assessment (RECFISH)</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6B36DA"/>
    <w:rsid w:val="00335371"/>
    <w:rsid w:val="005C5D8F"/>
    <w:rsid w:val="006B36DA"/>
    <w:rsid w:val="006F3029"/>
    <w:rsid w:val="00723A6C"/>
    <w:rsid w:val="00742DEB"/>
    <w:rsid w:val="00846485"/>
    <w:rsid w:val="00851BB4"/>
    <w:rsid w:val="008859E3"/>
    <w:rsid w:val="00C80312"/>
    <w:rsid w:val="00EB78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61A2"/>
  <w15:docId w15:val="{8F77526E-ED3C-4469-A36A-FD228512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Times New Roman" w:hAnsi="Times New Roman" w:cs="Times New Roman"/>
      <w:color w:val="00000A"/>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sz w:val="24"/>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Calibri" w:eastAsia="Calibri" w:hAnsi="Calibri"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rPr>
      <w:rFonts w:ascii="Times New Roman" w:hAnsi="Times New Roman" w:cs="Times New Roman"/>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rFonts w:ascii="Times New Roman" w:hAnsi="Times New Roman" w:cs="Times New Roman"/>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sz w:val="24"/>
    </w:rPr>
  </w:style>
  <w:style w:type="character" w:customStyle="1" w:styleId="WW8Num14z1">
    <w:name w:val="WW8Num14z1"/>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8z0">
    <w:name w:val="WW8Num18z0"/>
    <w:qFormat/>
    <w:rPr>
      <w:rFonts w:ascii="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sz w:val="24"/>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b w:val="0"/>
      <w:i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FootnoteCharacters">
    <w:name w:val="Footnote Characters"/>
    <w:qFormat/>
    <w:rPr>
      <w:vertAlign w:val="superscript"/>
    </w:rPr>
  </w:style>
  <w:style w:type="character" w:customStyle="1" w:styleId="FootnoteTextChar">
    <w:name w:val="Footnote Text Char"/>
    <w:qFormat/>
    <w:rPr>
      <w:rFonts w:eastAsia="PMingLiU;新細明體"/>
      <w:lang w:val="en-GB" w:eastAsia="zh-TW"/>
    </w:rPr>
  </w:style>
  <w:style w:type="character" w:customStyle="1" w:styleId="InternetLink">
    <w:name w:val="Internet Link"/>
    <w:rPr>
      <w:color w:val="0000FF"/>
      <w:u w:val="single"/>
    </w:rPr>
  </w:style>
  <w:style w:type="character" w:styleId="CommentReference">
    <w:name w:val="annotation reference"/>
    <w:qFormat/>
    <w:rPr>
      <w:sz w:val="16"/>
      <w:szCs w:val="16"/>
    </w:rPr>
  </w:style>
  <w:style w:type="character" w:customStyle="1" w:styleId="CommentTextChar">
    <w:name w:val="Comment Text Char"/>
    <w:qFormat/>
    <w:rPr>
      <w:rFonts w:ascii="Calibri" w:eastAsia="Calibri" w:hAnsi="Calibri" w:cs="Calibri"/>
    </w:rPr>
  </w:style>
  <w:style w:type="character" w:customStyle="1" w:styleId="HeaderChar">
    <w:name w:val="Header Char"/>
    <w:qFormat/>
    <w:rPr>
      <w:sz w:val="24"/>
      <w:szCs w:val="24"/>
      <w:lang w:val="en-GB"/>
    </w:rPr>
  </w:style>
  <w:style w:type="character" w:customStyle="1" w:styleId="FooterChar">
    <w:name w:val="Footer Char"/>
    <w:qFormat/>
    <w:rPr>
      <w:sz w:val="24"/>
      <w:szCs w:val="24"/>
      <w:lang w:val="en-GB"/>
    </w:rPr>
  </w:style>
  <w:style w:type="character" w:customStyle="1" w:styleId="CommentSubjectChar">
    <w:name w:val="Comment Subject Char"/>
    <w:qFormat/>
    <w:rPr>
      <w:rFonts w:ascii="Calibri" w:eastAsia="Calibri" w:hAnsi="Calibri" w:cs="Calibri"/>
      <w:b/>
      <w:bCs/>
    </w:rPr>
  </w:style>
  <w:style w:type="character" w:customStyle="1" w:styleId="EndnoteTextChar">
    <w:name w:val="Endnote Text Char"/>
    <w:qFormat/>
    <w:rPr>
      <w:lang w:val="en-GB"/>
    </w:rPr>
  </w:style>
  <w:style w:type="character" w:customStyle="1" w:styleId="EndnoteCharacters">
    <w:name w:val="End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pPr>
      <w:spacing w:before="280" w:after="280"/>
      <w:jc w:val="left"/>
    </w:pPr>
    <w:rPr>
      <w:lang w:val="en-US"/>
    </w:rPr>
  </w:style>
  <w:style w:type="paragraph" w:styleId="FootnoteText">
    <w:name w:val="footnote text"/>
    <w:basedOn w:val="Normal"/>
    <w:pPr>
      <w:jc w:val="left"/>
    </w:pPr>
    <w:rPr>
      <w:rFonts w:eastAsia="PMingLiU;新細明體"/>
      <w:sz w:val="20"/>
      <w:szCs w:val="20"/>
      <w:lang w:eastAsia="zh-TW"/>
    </w:rPr>
  </w:style>
  <w:style w:type="paragraph" w:styleId="DocumentMap">
    <w:name w:val="Document Map"/>
    <w:basedOn w:val="Normal"/>
    <w:qFormat/>
    <w:pPr>
      <w:shd w:val="clear" w:color="auto" w:fill="000080"/>
    </w:pPr>
    <w:rPr>
      <w:rFonts w:ascii="Tahoma" w:hAnsi="Tahoma" w:cs="Tahoma"/>
      <w:sz w:val="20"/>
      <w:szCs w:val="20"/>
    </w:rPr>
  </w:style>
  <w:style w:type="paragraph" w:styleId="TOC1">
    <w:name w:val="toc 1"/>
    <w:basedOn w:val="Normal"/>
    <w:next w:val="Normal"/>
    <w:pPr>
      <w:tabs>
        <w:tab w:val="right" w:leader="dot" w:pos="9071"/>
      </w:tabs>
      <w:spacing w:before="60" w:after="120"/>
      <w:ind w:left="850" w:hanging="850"/>
      <w:jc w:val="left"/>
    </w:pPr>
  </w:style>
  <w:style w:type="paragraph" w:styleId="BalloonText">
    <w:name w:val="Balloon Text"/>
    <w:basedOn w:val="Normal"/>
    <w:qFormat/>
    <w:rPr>
      <w:rFonts w:ascii="Tahoma" w:hAnsi="Tahoma" w:cs="Tahoma"/>
      <w:sz w:val="16"/>
      <w:szCs w:val="16"/>
    </w:rPr>
  </w:style>
  <w:style w:type="paragraph" w:customStyle="1" w:styleId="Text1">
    <w:name w:val="Text 1"/>
    <w:basedOn w:val="Normal"/>
    <w:qFormat/>
    <w:pPr>
      <w:ind w:left="850"/>
    </w:pPr>
    <w:rPr>
      <w:sz w:val="22"/>
    </w:rPr>
  </w:style>
  <w:style w:type="paragraph" w:customStyle="1" w:styleId="ColorfulList-Accent11">
    <w:name w:val="Colorful List - Accent 11"/>
    <w:basedOn w:val="Normal"/>
    <w:qFormat/>
    <w:pPr>
      <w:spacing w:after="200" w:line="276" w:lineRule="auto"/>
      <w:ind w:left="720"/>
      <w:contextualSpacing/>
      <w:jc w:val="left"/>
    </w:pPr>
    <w:rPr>
      <w:rFonts w:ascii="Calibri" w:eastAsia="Calibri" w:hAnsi="Calibri"/>
      <w:sz w:val="22"/>
      <w:szCs w:val="22"/>
      <w:lang w:val="en-US"/>
    </w:rPr>
  </w:style>
  <w:style w:type="paragraph" w:styleId="CommentText">
    <w:name w:val="annotation text"/>
    <w:basedOn w:val="Normal"/>
    <w:qFormat/>
    <w:pPr>
      <w:spacing w:after="200"/>
      <w:jc w:val="left"/>
    </w:pPr>
    <w:rPr>
      <w:rFonts w:ascii="Calibri" w:eastAsia="Calibri" w:hAnsi="Calibri"/>
      <w:sz w:val="20"/>
      <w:szCs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Revision">
    <w:name w:val="Revision"/>
    <w:qFormat/>
    <w:rPr>
      <w:rFonts w:ascii="Times New Roman" w:eastAsia="Times New Roman" w:hAnsi="Times New Roman" w:cs="Times New Roman"/>
      <w:color w:val="00000A"/>
      <w:sz w:val="24"/>
      <w:lang w:val="en-GB" w:bidi="ar-SA"/>
    </w:rPr>
  </w:style>
  <w:style w:type="paragraph" w:styleId="CommentSubject">
    <w:name w:val="annotation subject"/>
    <w:basedOn w:val="CommentText"/>
    <w:qFormat/>
    <w:pPr>
      <w:spacing w:after="0"/>
      <w:jc w:val="both"/>
    </w:pPr>
    <w:rPr>
      <w:rFonts w:ascii="Times New Roman" w:eastAsia="Times New Roman" w:hAnsi="Times New Roman"/>
      <w:b/>
      <w:bCs/>
      <w:lang w:val="en-GB"/>
    </w:rPr>
  </w:style>
  <w:style w:type="paragraph" w:customStyle="1" w:styleId="EndnoteSymbol">
    <w:name w:val="Endnote Symbol"/>
    <w:basedOn w:val="Normal"/>
    <w:qFormat/>
    <w:rPr>
      <w:sz w:val="20"/>
      <w:szCs w:val="20"/>
    </w:rPr>
  </w:style>
  <w:style w:type="paragraph" w:customStyle="1" w:styleId="Default">
    <w:name w:val="Default"/>
    <w:qFormat/>
    <w:rPr>
      <w:rFonts w:ascii="Times New Roman" w:eastAsia="Times New Roman" w:hAnsi="Times New Roman" w:cs="Times New Roman"/>
      <w:color w:val="000000"/>
      <w:sz w:val="24"/>
      <w:lang w:val="en-GB" w:bidi="ar-SA"/>
    </w:rPr>
  </w:style>
  <w:style w:type="paragraph" w:styleId="ListParagraph">
    <w:name w:val="List Paragraph"/>
    <w:basedOn w:val="Normal"/>
    <w:qFormat/>
    <w:pPr>
      <w:ind w:left="720"/>
      <w:contextualSpacing/>
      <w:jc w:val="left"/>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character" w:styleId="FootnoteReference">
    <w:name w:val="footnote reference"/>
    <w:basedOn w:val="DefaultParagraphFont"/>
    <w:uiPriority w:val="99"/>
    <w:semiHidden/>
    <w:unhideWhenUsed/>
    <w:rsid w:val="00EB7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atacollection.jrc.ec.europa.eu/web/dcf/dtmt" TargetMode="External"/><Relationship Id="rId3" Type="http://schemas.openxmlformats.org/officeDocument/2006/relationships/settings" Target="settings.xml"/><Relationship Id="rId7" Type="http://schemas.openxmlformats.org/officeDocument/2006/relationships/hyperlink" Target="https://stecf.jrc.ec.europa.eu/dd/medbs/r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ecf.jrc.ec.europa.eu/documents/43805/1691180/STECF+17-07+-+Methods+for+stock+assessments+in+M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9EEE97-3D5E-46E7-AA2C-FC10D8C5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5415</Characters>
  <Application>Microsoft Office Word</Application>
  <DocSecurity>4</DocSecurity>
  <Lines>142</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Christos.MARAVELIAS@ec.europa.eu</dc:creator>
  <cp:lastModifiedBy>PEREZ PERERA Amanda (MARE)</cp:lastModifiedBy>
  <cp:revision>2</cp:revision>
  <cp:lastPrinted>2019-06-19T15:48:00Z</cp:lastPrinted>
  <dcterms:created xsi:type="dcterms:W3CDTF">2019-06-24T07:17:00Z</dcterms:created>
  <dcterms:modified xsi:type="dcterms:W3CDTF">2019-06-24T07:17:00Z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